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33" w:rsidRPr="00530CF2" w:rsidRDefault="00B44B33" w:rsidP="00530CF2">
      <w:pPr>
        <w:rPr>
          <w:rFonts w:ascii="Arial" w:hAnsi="Arial" w:cs="Arial"/>
          <w:b/>
          <w:sz w:val="20"/>
          <w:szCs w:val="20"/>
        </w:rPr>
      </w:pPr>
      <w:bookmarkStart w:id="0" w:name="_GoBack"/>
      <w:bookmarkEnd w:id="0"/>
      <w:r w:rsidRPr="00530CF2">
        <w:rPr>
          <w:rFonts w:ascii="Arial" w:hAnsi="Arial" w:cs="Arial"/>
          <w:b/>
          <w:sz w:val="20"/>
          <w:szCs w:val="20"/>
        </w:rPr>
        <w:t>4 March 2013</w:t>
      </w:r>
    </w:p>
    <w:p w:rsidR="00B44B33" w:rsidRPr="00530CF2" w:rsidRDefault="00B44B33" w:rsidP="00530CF2">
      <w:pPr>
        <w:rPr>
          <w:rFonts w:ascii="Arial" w:hAnsi="Arial" w:cs="Arial"/>
          <w:sz w:val="20"/>
          <w:szCs w:val="20"/>
        </w:rPr>
      </w:pPr>
      <w:r w:rsidRPr="00530CF2">
        <w:rPr>
          <w:rFonts w:ascii="Arial" w:hAnsi="Arial" w:cs="Arial"/>
          <w:sz w:val="20"/>
          <w:szCs w:val="20"/>
        </w:rPr>
        <w:t>Embargoed for 07:00</w:t>
      </w:r>
    </w:p>
    <w:p w:rsidR="00B44B33" w:rsidRPr="00530CF2" w:rsidRDefault="00B44B33" w:rsidP="00530CF2">
      <w:pPr>
        <w:rPr>
          <w:rFonts w:ascii="Arial" w:hAnsi="Arial" w:cs="Arial"/>
          <w:sz w:val="20"/>
          <w:szCs w:val="20"/>
        </w:rPr>
      </w:pPr>
    </w:p>
    <w:p w:rsidR="00B44B33" w:rsidRPr="00530CF2" w:rsidRDefault="00B44B33" w:rsidP="00530CF2">
      <w:pPr>
        <w:jc w:val="center"/>
        <w:outlineLvl w:val="1"/>
        <w:rPr>
          <w:rFonts w:ascii="Arial" w:hAnsi="Arial" w:cs="Arial"/>
          <w:b/>
          <w:bCs/>
          <w:kern w:val="36"/>
          <w:sz w:val="20"/>
          <w:szCs w:val="20"/>
        </w:rPr>
      </w:pPr>
      <w:r w:rsidRPr="00530CF2">
        <w:rPr>
          <w:rFonts w:ascii="Arial" w:hAnsi="Arial" w:cs="Arial"/>
          <w:b/>
          <w:bCs/>
          <w:kern w:val="36"/>
          <w:sz w:val="20"/>
          <w:szCs w:val="20"/>
        </w:rPr>
        <w:t>Rangers International Football Club plc</w:t>
      </w:r>
    </w:p>
    <w:p w:rsidR="00B44B33" w:rsidRPr="00530CF2" w:rsidRDefault="00B44B33" w:rsidP="00530CF2">
      <w:pPr>
        <w:jc w:val="center"/>
        <w:outlineLvl w:val="1"/>
        <w:rPr>
          <w:rFonts w:ascii="Arial" w:hAnsi="Arial" w:cs="Arial"/>
          <w:bCs/>
          <w:kern w:val="36"/>
          <w:sz w:val="20"/>
          <w:szCs w:val="20"/>
        </w:rPr>
      </w:pPr>
      <w:r w:rsidRPr="00530CF2">
        <w:rPr>
          <w:rFonts w:ascii="Arial" w:hAnsi="Arial" w:cs="Arial"/>
          <w:bCs/>
          <w:kern w:val="36"/>
          <w:sz w:val="20"/>
          <w:szCs w:val="20"/>
        </w:rPr>
        <w:t>(“Rangers”</w:t>
      </w:r>
      <w:r>
        <w:rPr>
          <w:rFonts w:ascii="Arial" w:hAnsi="Arial" w:cs="Arial"/>
          <w:bCs/>
          <w:kern w:val="36"/>
          <w:sz w:val="20"/>
          <w:szCs w:val="20"/>
        </w:rPr>
        <w:t xml:space="preserve"> or the “Company”</w:t>
      </w:r>
      <w:r w:rsidRPr="00530CF2">
        <w:rPr>
          <w:rFonts w:ascii="Arial" w:hAnsi="Arial" w:cs="Arial"/>
          <w:bCs/>
          <w:kern w:val="36"/>
          <w:sz w:val="20"/>
          <w:szCs w:val="20"/>
        </w:rPr>
        <w:t>)</w:t>
      </w:r>
    </w:p>
    <w:p w:rsidR="00B44B33" w:rsidRPr="00530CF2" w:rsidRDefault="00B44B33" w:rsidP="00530CF2">
      <w:pPr>
        <w:jc w:val="center"/>
        <w:outlineLvl w:val="1"/>
        <w:rPr>
          <w:rFonts w:ascii="Arial" w:hAnsi="Arial" w:cs="Arial"/>
          <w:b/>
          <w:bCs/>
          <w:kern w:val="36"/>
          <w:sz w:val="20"/>
          <w:szCs w:val="20"/>
          <w:lang w:val="en-GB"/>
        </w:rPr>
      </w:pPr>
    </w:p>
    <w:p w:rsidR="00B44B33" w:rsidRPr="00530CF2" w:rsidRDefault="00B44B33" w:rsidP="00530CF2">
      <w:pPr>
        <w:jc w:val="center"/>
        <w:outlineLvl w:val="1"/>
        <w:rPr>
          <w:rFonts w:ascii="Arial" w:hAnsi="Arial" w:cs="Arial"/>
          <w:b/>
          <w:bCs/>
          <w:kern w:val="36"/>
          <w:sz w:val="20"/>
          <w:szCs w:val="20"/>
          <w:lang w:val="en-GB"/>
        </w:rPr>
      </w:pPr>
      <w:r w:rsidRPr="00530CF2">
        <w:rPr>
          <w:rFonts w:ascii="Arial" w:hAnsi="Arial" w:cs="Arial"/>
          <w:b/>
          <w:bCs/>
          <w:kern w:val="36"/>
          <w:sz w:val="20"/>
          <w:szCs w:val="20"/>
          <w:lang w:val="en-GB"/>
        </w:rPr>
        <w:t>Interim Results</w:t>
      </w:r>
    </w:p>
    <w:p w:rsidR="00B44B33" w:rsidRDefault="00B44B33" w:rsidP="00530CF2">
      <w:pPr>
        <w:jc w:val="center"/>
        <w:outlineLvl w:val="1"/>
        <w:rPr>
          <w:rFonts w:ascii="Arial" w:hAnsi="Arial" w:cs="Arial"/>
          <w:b/>
          <w:bCs/>
          <w:kern w:val="36"/>
          <w:sz w:val="20"/>
          <w:szCs w:val="20"/>
          <w:lang w:val="en-GB"/>
        </w:rPr>
      </w:pPr>
    </w:p>
    <w:p w:rsidR="00B44B33" w:rsidRPr="00530CF2" w:rsidRDefault="00B44B33" w:rsidP="00530CF2">
      <w:pPr>
        <w:jc w:val="center"/>
        <w:outlineLvl w:val="1"/>
        <w:rPr>
          <w:rFonts w:ascii="Arial" w:hAnsi="Arial" w:cs="Arial"/>
          <w:b/>
          <w:bCs/>
          <w:kern w:val="36"/>
          <w:sz w:val="20"/>
          <w:szCs w:val="20"/>
          <w:lang w:val="en-GB"/>
        </w:rPr>
      </w:pPr>
    </w:p>
    <w:p w:rsidR="00B44B33" w:rsidRDefault="00B44B33" w:rsidP="00530CF2">
      <w:pPr>
        <w:widowControl/>
        <w:autoSpaceDE/>
        <w:autoSpaceDN/>
        <w:jc w:val="both"/>
        <w:rPr>
          <w:rFonts w:ascii="Arial" w:hAnsi="Arial" w:cs="Arial"/>
          <w:sz w:val="20"/>
          <w:szCs w:val="20"/>
        </w:rPr>
      </w:pPr>
      <w:r w:rsidRPr="00530CF2">
        <w:rPr>
          <w:rFonts w:ascii="Arial" w:hAnsi="Arial" w:cs="Arial"/>
          <w:bCs/>
          <w:color w:val="000000"/>
          <w:sz w:val="20"/>
          <w:szCs w:val="20"/>
        </w:rPr>
        <w:t>R</w:t>
      </w:r>
      <w:r w:rsidRPr="00530CF2">
        <w:rPr>
          <w:rFonts w:ascii="Arial" w:hAnsi="Arial" w:cs="Arial"/>
          <w:sz w:val="20"/>
          <w:szCs w:val="20"/>
        </w:rPr>
        <w:t xml:space="preserve">angers International Football Club plc (AIM:RFC), the holding company for the Scottish football club ‘Rangers’, is pleased to announce interim results for the seven-month period </w:t>
      </w:r>
      <w:r>
        <w:rPr>
          <w:rFonts w:ascii="Arial" w:hAnsi="Arial" w:cs="Arial"/>
          <w:sz w:val="20"/>
          <w:szCs w:val="20"/>
        </w:rPr>
        <w:t xml:space="preserve">from incorporation </w:t>
      </w:r>
      <w:r w:rsidRPr="00530CF2">
        <w:rPr>
          <w:rFonts w:ascii="Arial" w:hAnsi="Arial" w:cs="Arial"/>
          <w:sz w:val="20"/>
          <w:szCs w:val="20"/>
        </w:rPr>
        <w:t>to 31 December 2012.</w:t>
      </w:r>
    </w:p>
    <w:p w:rsidR="00B44B33" w:rsidRDefault="00B44B33" w:rsidP="00530CF2">
      <w:pPr>
        <w:widowControl/>
        <w:autoSpaceDE/>
        <w:autoSpaceDN/>
        <w:jc w:val="both"/>
        <w:rPr>
          <w:rFonts w:ascii="Arial" w:hAnsi="Arial" w:cs="Arial"/>
          <w:sz w:val="20"/>
          <w:szCs w:val="20"/>
        </w:rPr>
      </w:pPr>
    </w:p>
    <w:p w:rsidR="00B44B33" w:rsidRDefault="00B44B33" w:rsidP="00530CF2">
      <w:pPr>
        <w:widowControl/>
        <w:autoSpaceDE/>
        <w:autoSpaceDN/>
        <w:jc w:val="both"/>
        <w:rPr>
          <w:rFonts w:ascii="Arial" w:hAnsi="Arial" w:cs="Arial"/>
          <w:b/>
          <w:sz w:val="20"/>
          <w:szCs w:val="20"/>
        </w:rPr>
      </w:pPr>
      <w:r w:rsidRPr="00530CF2">
        <w:rPr>
          <w:rFonts w:ascii="Arial" w:hAnsi="Arial" w:cs="Arial"/>
          <w:b/>
          <w:sz w:val="20"/>
          <w:szCs w:val="20"/>
        </w:rPr>
        <w:t>Operational Highlights</w:t>
      </w:r>
    </w:p>
    <w:p w:rsidR="00B44B33" w:rsidRPr="00530CF2" w:rsidRDefault="00B44B33" w:rsidP="00530CF2">
      <w:pPr>
        <w:widowControl/>
        <w:autoSpaceDE/>
        <w:autoSpaceDN/>
        <w:jc w:val="both"/>
        <w:rPr>
          <w:rFonts w:ascii="Arial" w:hAnsi="Arial" w:cs="Arial"/>
          <w:b/>
          <w:sz w:val="20"/>
          <w:szCs w:val="20"/>
        </w:rPr>
      </w:pPr>
    </w:p>
    <w:p w:rsidR="00B44B33" w:rsidRPr="00530CF2" w:rsidRDefault="00B44B33" w:rsidP="00530CF2">
      <w:pPr>
        <w:pStyle w:val="ListParagraph"/>
        <w:widowControl/>
        <w:numPr>
          <w:ilvl w:val="0"/>
          <w:numId w:val="11"/>
        </w:numPr>
        <w:autoSpaceDE/>
        <w:autoSpaceDN/>
        <w:jc w:val="both"/>
        <w:rPr>
          <w:rFonts w:ascii="Arial" w:hAnsi="Arial" w:cs="Arial"/>
          <w:sz w:val="20"/>
          <w:szCs w:val="20"/>
        </w:rPr>
      </w:pPr>
      <w:r w:rsidRPr="00530CF2">
        <w:rPr>
          <w:rFonts w:ascii="Arial" w:hAnsi="Arial" w:cs="Arial"/>
          <w:sz w:val="20"/>
          <w:szCs w:val="20"/>
        </w:rPr>
        <w:t>Sustainable long-term structure now in place</w:t>
      </w:r>
    </w:p>
    <w:p w:rsidR="00B44B33" w:rsidRPr="00530CF2" w:rsidRDefault="00B44B33" w:rsidP="00530CF2">
      <w:pPr>
        <w:pStyle w:val="ListParagraph"/>
        <w:widowControl/>
        <w:numPr>
          <w:ilvl w:val="1"/>
          <w:numId w:val="11"/>
        </w:numPr>
        <w:autoSpaceDE/>
        <w:autoSpaceDN/>
        <w:jc w:val="both"/>
        <w:rPr>
          <w:rFonts w:ascii="Arial" w:hAnsi="Arial" w:cs="Arial"/>
          <w:sz w:val="20"/>
          <w:szCs w:val="20"/>
        </w:rPr>
      </w:pPr>
      <w:r w:rsidRPr="00530CF2">
        <w:rPr>
          <w:rFonts w:ascii="Arial" w:hAnsi="Arial" w:cs="Arial"/>
          <w:sz w:val="20"/>
          <w:szCs w:val="20"/>
        </w:rPr>
        <w:t>Assets and intangibles purchase</w:t>
      </w:r>
      <w:r>
        <w:rPr>
          <w:rFonts w:ascii="Arial" w:hAnsi="Arial" w:cs="Arial"/>
          <w:sz w:val="20"/>
          <w:szCs w:val="20"/>
        </w:rPr>
        <w:t>d</w:t>
      </w:r>
      <w:r w:rsidRPr="00530CF2">
        <w:rPr>
          <w:rFonts w:ascii="Arial" w:hAnsi="Arial" w:cs="Arial"/>
          <w:sz w:val="20"/>
          <w:szCs w:val="20"/>
        </w:rPr>
        <w:t xml:space="preserve"> from Administrators of former Rangers Football Club plc for £5.5m on 14 June 2012</w:t>
      </w:r>
    </w:p>
    <w:p w:rsidR="00B44B33" w:rsidRPr="00530CF2" w:rsidRDefault="00B44B33" w:rsidP="00530CF2">
      <w:pPr>
        <w:pStyle w:val="ListParagraph"/>
        <w:widowControl/>
        <w:numPr>
          <w:ilvl w:val="1"/>
          <w:numId w:val="11"/>
        </w:numPr>
        <w:autoSpaceDE/>
        <w:autoSpaceDN/>
        <w:jc w:val="both"/>
        <w:rPr>
          <w:rFonts w:ascii="Arial" w:hAnsi="Arial" w:cs="Arial"/>
          <w:sz w:val="20"/>
          <w:szCs w:val="20"/>
        </w:rPr>
      </w:pPr>
      <w:r w:rsidRPr="00530CF2">
        <w:rPr>
          <w:rFonts w:ascii="Arial" w:hAnsi="Arial" w:cs="Arial"/>
          <w:sz w:val="20"/>
          <w:szCs w:val="20"/>
        </w:rPr>
        <w:t>Successful IPO on AIM market of London Stock Exchange raised £22</w:t>
      </w:r>
      <w:r>
        <w:rPr>
          <w:rFonts w:ascii="Arial" w:hAnsi="Arial" w:cs="Arial"/>
          <w:sz w:val="20"/>
          <w:szCs w:val="20"/>
        </w:rPr>
        <w:t>.2</w:t>
      </w:r>
      <w:r w:rsidRPr="00530CF2">
        <w:rPr>
          <w:rFonts w:ascii="Arial" w:hAnsi="Arial" w:cs="Arial"/>
          <w:sz w:val="20"/>
          <w:szCs w:val="20"/>
        </w:rPr>
        <w:t>m in December 2012 to fund growth strategy, and bringing the total raised share capital since incorporation to £</w:t>
      </w:r>
      <w:r>
        <w:rPr>
          <w:rFonts w:ascii="Arial" w:hAnsi="Arial" w:cs="Arial"/>
          <w:sz w:val="20"/>
          <w:szCs w:val="20"/>
        </w:rPr>
        <w:t>35.2m</w:t>
      </w:r>
    </w:p>
    <w:p w:rsidR="00B44B33" w:rsidRPr="00530CF2" w:rsidRDefault="00B44B33" w:rsidP="00530CF2">
      <w:pPr>
        <w:pStyle w:val="ListParagraph"/>
        <w:widowControl/>
        <w:numPr>
          <w:ilvl w:val="0"/>
          <w:numId w:val="11"/>
        </w:numPr>
        <w:autoSpaceDE/>
        <w:autoSpaceDN/>
        <w:jc w:val="both"/>
        <w:rPr>
          <w:rFonts w:ascii="Arial" w:hAnsi="Arial" w:cs="Arial"/>
          <w:sz w:val="20"/>
          <w:szCs w:val="20"/>
        </w:rPr>
      </w:pPr>
      <w:r w:rsidRPr="00530CF2">
        <w:rPr>
          <w:rFonts w:ascii="Arial" w:hAnsi="Arial" w:cs="Arial"/>
          <w:sz w:val="20"/>
          <w:szCs w:val="20"/>
        </w:rPr>
        <w:t xml:space="preserve">Season ticket sales in excess of 38,000, one of the highest levels of season ticket sales achieved by any </w:t>
      </w:r>
      <w:smartTag w:uri="urn:schemas-microsoft-com:office:smarttags" w:element="country-region">
        <w:smartTag w:uri="urn:schemas-microsoft-com:office:smarttags" w:element="place">
          <w:r w:rsidRPr="00530CF2">
            <w:rPr>
              <w:rFonts w:ascii="Arial" w:hAnsi="Arial" w:cs="Arial"/>
              <w:sz w:val="20"/>
              <w:szCs w:val="20"/>
            </w:rPr>
            <w:t>UK</w:t>
          </w:r>
        </w:smartTag>
      </w:smartTag>
      <w:r w:rsidRPr="00530CF2">
        <w:rPr>
          <w:rFonts w:ascii="Arial" w:hAnsi="Arial" w:cs="Arial"/>
          <w:sz w:val="20"/>
          <w:szCs w:val="20"/>
        </w:rPr>
        <w:t xml:space="preserve"> club</w:t>
      </w:r>
    </w:p>
    <w:p w:rsidR="00B44B33" w:rsidRPr="00530CF2" w:rsidRDefault="00B44B33" w:rsidP="00530CF2">
      <w:pPr>
        <w:pStyle w:val="ListParagraph"/>
        <w:widowControl/>
        <w:numPr>
          <w:ilvl w:val="0"/>
          <w:numId w:val="11"/>
        </w:numPr>
        <w:autoSpaceDE/>
        <w:autoSpaceDN/>
        <w:jc w:val="both"/>
        <w:rPr>
          <w:rFonts w:ascii="Arial" w:hAnsi="Arial" w:cs="Arial"/>
          <w:sz w:val="20"/>
          <w:szCs w:val="20"/>
        </w:rPr>
      </w:pPr>
      <w:r w:rsidRPr="00530CF2">
        <w:rPr>
          <w:rFonts w:ascii="Arial" w:hAnsi="Arial" w:cs="Arial"/>
          <w:sz w:val="20"/>
          <w:szCs w:val="20"/>
        </w:rPr>
        <w:t xml:space="preserve">Average home </w:t>
      </w:r>
      <w:r>
        <w:rPr>
          <w:rFonts w:ascii="Arial" w:hAnsi="Arial" w:cs="Arial"/>
          <w:sz w:val="20"/>
          <w:szCs w:val="20"/>
        </w:rPr>
        <w:t xml:space="preserve">league </w:t>
      </w:r>
      <w:r w:rsidRPr="00530CF2">
        <w:rPr>
          <w:rFonts w:ascii="Arial" w:hAnsi="Arial" w:cs="Arial"/>
          <w:sz w:val="20"/>
          <w:szCs w:val="20"/>
        </w:rPr>
        <w:t>attendance of 4</w:t>
      </w:r>
      <w:r>
        <w:rPr>
          <w:rFonts w:ascii="Arial" w:hAnsi="Arial" w:cs="Arial"/>
          <w:sz w:val="20"/>
          <w:szCs w:val="20"/>
        </w:rPr>
        <w:t>5,363 during the period</w:t>
      </w:r>
      <w:r w:rsidRPr="00530CF2">
        <w:rPr>
          <w:rFonts w:ascii="Arial" w:hAnsi="Arial" w:cs="Arial"/>
          <w:sz w:val="20"/>
          <w:szCs w:val="20"/>
        </w:rPr>
        <w:t xml:space="preserve">; fifth highest ranking </w:t>
      </w:r>
      <w:smartTag w:uri="urn:schemas-microsoft-com:office:smarttags" w:element="country-region">
        <w:smartTag w:uri="urn:schemas-microsoft-com:office:smarttags" w:element="place">
          <w:r w:rsidRPr="00530CF2">
            <w:rPr>
              <w:rFonts w:ascii="Arial" w:hAnsi="Arial" w:cs="Arial"/>
              <w:sz w:val="20"/>
              <w:szCs w:val="20"/>
            </w:rPr>
            <w:t>UK</w:t>
          </w:r>
        </w:smartTag>
      </w:smartTag>
      <w:r w:rsidRPr="00530CF2">
        <w:rPr>
          <w:rFonts w:ascii="Arial" w:hAnsi="Arial" w:cs="Arial"/>
          <w:sz w:val="20"/>
          <w:szCs w:val="20"/>
        </w:rPr>
        <w:t xml:space="preserve"> football attendance </w:t>
      </w:r>
    </w:p>
    <w:p w:rsidR="00B44B33" w:rsidRPr="00530CF2" w:rsidRDefault="00B44B33" w:rsidP="00530CF2">
      <w:pPr>
        <w:pStyle w:val="ListParagraph"/>
        <w:widowControl/>
        <w:numPr>
          <w:ilvl w:val="0"/>
          <w:numId w:val="11"/>
        </w:numPr>
        <w:autoSpaceDE/>
        <w:autoSpaceDN/>
        <w:jc w:val="both"/>
        <w:rPr>
          <w:rFonts w:ascii="Arial" w:hAnsi="Arial" w:cs="Arial"/>
          <w:sz w:val="20"/>
          <w:szCs w:val="20"/>
        </w:rPr>
      </w:pPr>
      <w:r w:rsidRPr="00530CF2">
        <w:rPr>
          <w:rFonts w:ascii="Arial" w:hAnsi="Arial" w:cs="Arial"/>
          <w:sz w:val="20"/>
          <w:szCs w:val="20"/>
        </w:rPr>
        <w:t xml:space="preserve">New retail arrangement signed with the </w:t>
      </w:r>
      <w:smartTag w:uri="urn:schemas-microsoft-com:office:smarttags" w:element="country-region">
        <w:smartTag w:uri="urn:schemas-microsoft-com:office:smarttags" w:element="place">
          <w:r w:rsidRPr="00530CF2">
            <w:rPr>
              <w:rFonts w:ascii="Arial" w:hAnsi="Arial" w:cs="Arial"/>
              <w:sz w:val="20"/>
              <w:szCs w:val="20"/>
            </w:rPr>
            <w:t>UK</w:t>
          </w:r>
        </w:smartTag>
      </w:smartTag>
      <w:r w:rsidRPr="00530CF2">
        <w:rPr>
          <w:rFonts w:ascii="Arial" w:hAnsi="Arial" w:cs="Arial"/>
          <w:sz w:val="20"/>
          <w:szCs w:val="20"/>
        </w:rPr>
        <w:t xml:space="preserve">’s largest sports retailer, Sports Direct </w:t>
      </w:r>
    </w:p>
    <w:p w:rsidR="00B44B33" w:rsidRDefault="00B44B33" w:rsidP="00530CF2">
      <w:pPr>
        <w:pStyle w:val="ListParagraph"/>
        <w:widowControl/>
        <w:numPr>
          <w:ilvl w:val="0"/>
          <w:numId w:val="11"/>
        </w:numPr>
        <w:autoSpaceDE/>
        <w:autoSpaceDN/>
        <w:jc w:val="both"/>
        <w:rPr>
          <w:rFonts w:ascii="Arial" w:hAnsi="Arial" w:cs="Arial"/>
          <w:sz w:val="20"/>
          <w:szCs w:val="20"/>
        </w:rPr>
      </w:pPr>
      <w:r w:rsidRPr="00530CF2">
        <w:rPr>
          <w:rFonts w:ascii="Arial" w:hAnsi="Arial" w:cs="Arial"/>
          <w:sz w:val="20"/>
          <w:szCs w:val="20"/>
        </w:rPr>
        <w:t xml:space="preserve">New kit manufacturer agreement signed with one of the world’s leading sport-lifestyle brands, Puma </w:t>
      </w:r>
    </w:p>
    <w:p w:rsidR="00B44B33" w:rsidRPr="00530CF2" w:rsidRDefault="00B44B33" w:rsidP="00530CF2">
      <w:pPr>
        <w:pStyle w:val="ListParagraph"/>
        <w:widowControl/>
        <w:numPr>
          <w:ilvl w:val="0"/>
          <w:numId w:val="11"/>
        </w:numPr>
        <w:autoSpaceDE/>
        <w:autoSpaceDN/>
        <w:jc w:val="both"/>
        <w:rPr>
          <w:rFonts w:ascii="Arial" w:hAnsi="Arial" w:cs="Arial"/>
          <w:sz w:val="20"/>
          <w:szCs w:val="20"/>
        </w:rPr>
      </w:pPr>
      <w:r>
        <w:rPr>
          <w:rFonts w:ascii="Arial" w:hAnsi="Arial" w:cs="Arial"/>
          <w:sz w:val="20"/>
          <w:szCs w:val="20"/>
        </w:rPr>
        <w:t>New shirt sponsor, Blackthorn Cider, for season 2013/14</w:t>
      </w:r>
    </w:p>
    <w:p w:rsidR="00B44B33" w:rsidRPr="00530CF2" w:rsidRDefault="00B44B33" w:rsidP="00530CF2">
      <w:pPr>
        <w:pStyle w:val="ListParagraph"/>
        <w:widowControl/>
        <w:numPr>
          <w:ilvl w:val="0"/>
          <w:numId w:val="11"/>
        </w:numPr>
        <w:autoSpaceDE/>
        <w:autoSpaceDN/>
        <w:jc w:val="both"/>
        <w:rPr>
          <w:rFonts w:ascii="Arial" w:hAnsi="Arial" w:cs="Arial"/>
          <w:sz w:val="20"/>
          <w:szCs w:val="20"/>
        </w:rPr>
      </w:pPr>
      <w:r w:rsidRPr="00530CF2">
        <w:rPr>
          <w:rFonts w:ascii="Arial" w:hAnsi="Arial" w:cs="Arial"/>
          <w:sz w:val="20"/>
          <w:szCs w:val="20"/>
        </w:rPr>
        <w:t xml:space="preserve">Acquisition of the </w:t>
      </w:r>
      <w:smartTag w:uri="urn:schemas-microsoft-com:office:smarttags" w:element="place">
        <w:r w:rsidRPr="00530CF2">
          <w:rPr>
            <w:rFonts w:ascii="Arial" w:hAnsi="Arial" w:cs="Arial"/>
            <w:sz w:val="20"/>
            <w:szCs w:val="20"/>
          </w:rPr>
          <w:t>Albion</w:t>
        </w:r>
      </w:smartTag>
      <w:r w:rsidRPr="00530CF2">
        <w:rPr>
          <w:rFonts w:ascii="Arial" w:hAnsi="Arial" w:cs="Arial"/>
          <w:sz w:val="20"/>
          <w:szCs w:val="20"/>
        </w:rPr>
        <w:t xml:space="preserve"> car park and Edmiston House for future ventures to enhance match day experience in January</w:t>
      </w:r>
      <w:r>
        <w:rPr>
          <w:rFonts w:ascii="Arial" w:hAnsi="Arial" w:cs="Arial"/>
          <w:sz w:val="20"/>
          <w:szCs w:val="20"/>
        </w:rPr>
        <w:t xml:space="preserve"> 2013</w:t>
      </w:r>
    </w:p>
    <w:p w:rsidR="00B44B33" w:rsidRPr="00530CF2" w:rsidRDefault="00B44B33" w:rsidP="00530CF2">
      <w:pPr>
        <w:pStyle w:val="ListParagraph"/>
        <w:widowControl/>
        <w:numPr>
          <w:ilvl w:val="0"/>
          <w:numId w:val="11"/>
        </w:numPr>
        <w:autoSpaceDE/>
        <w:autoSpaceDN/>
        <w:jc w:val="both"/>
        <w:rPr>
          <w:rFonts w:ascii="Arial" w:hAnsi="Arial" w:cs="Arial"/>
          <w:sz w:val="20"/>
          <w:szCs w:val="20"/>
        </w:rPr>
      </w:pPr>
      <w:r w:rsidRPr="00530CF2">
        <w:rPr>
          <w:rFonts w:ascii="Arial" w:hAnsi="Arial" w:cs="Arial"/>
          <w:sz w:val="20"/>
          <w:szCs w:val="20"/>
        </w:rPr>
        <w:t>Currently first in the Scottish Football League 3</w:t>
      </w:r>
      <w:r w:rsidRPr="00530CF2">
        <w:rPr>
          <w:rFonts w:ascii="Arial" w:hAnsi="Arial" w:cs="Arial"/>
          <w:sz w:val="20"/>
          <w:szCs w:val="20"/>
          <w:vertAlign w:val="superscript"/>
        </w:rPr>
        <w:t>rd</w:t>
      </w:r>
      <w:r w:rsidRPr="00530CF2">
        <w:rPr>
          <w:rFonts w:ascii="Arial" w:hAnsi="Arial" w:cs="Arial"/>
          <w:sz w:val="20"/>
          <w:szCs w:val="20"/>
        </w:rPr>
        <w:t xml:space="preserve"> Division</w:t>
      </w:r>
    </w:p>
    <w:p w:rsidR="00B44B33" w:rsidRDefault="00B44B33" w:rsidP="00530CF2">
      <w:pPr>
        <w:pStyle w:val="ListParagraph"/>
        <w:widowControl/>
        <w:autoSpaceDE/>
        <w:autoSpaceDN/>
        <w:jc w:val="both"/>
        <w:rPr>
          <w:rFonts w:ascii="Arial" w:hAnsi="Arial" w:cs="Arial"/>
          <w:sz w:val="20"/>
          <w:szCs w:val="20"/>
        </w:rPr>
      </w:pPr>
    </w:p>
    <w:p w:rsidR="00B44B33" w:rsidRPr="00530CF2" w:rsidRDefault="00B44B33" w:rsidP="00530CF2">
      <w:pPr>
        <w:pStyle w:val="ListParagraph"/>
        <w:widowControl/>
        <w:autoSpaceDE/>
        <w:autoSpaceDN/>
        <w:ind w:left="0"/>
        <w:jc w:val="both"/>
        <w:rPr>
          <w:rFonts w:ascii="Arial" w:hAnsi="Arial" w:cs="Arial"/>
          <w:b/>
          <w:sz w:val="20"/>
          <w:szCs w:val="20"/>
        </w:rPr>
      </w:pPr>
      <w:r w:rsidRPr="00530CF2">
        <w:rPr>
          <w:rFonts w:ascii="Arial" w:hAnsi="Arial" w:cs="Arial"/>
          <w:b/>
          <w:sz w:val="20"/>
          <w:szCs w:val="20"/>
        </w:rPr>
        <w:t>Financial Highlights</w:t>
      </w:r>
    </w:p>
    <w:p w:rsidR="00B44B33" w:rsidRPr="00530CF2" w:rsidRDefault="00B44B33" w:rsidP="00530CF2">
      <w:pPr>
        <w:pStyle w:val="ListParagraph"/>
        <w:widowControl/>
        <w:autoSpaceDE/>
        <w:autoSpaceDN/>
        <w:ind w:left="0"/>
        <w:jc w:val="both"/>
        <w:rPr>
          <w:rFonts w:ascii="Arial" w:hAnsi="Arial" w:cs="Arial"/>
          <w:sz w:val="20"/>
          <w:szCs w:val="20"/>
        </w:rPr>
      </w:pPr>
    </w:p>
    <w:p w:rsidR="00B44B33" w:rsidRPr="00530CF2" w:rsidRDefault="00B44B33" w:rsidP="00530CF2">
      <w:pPr>
        <w:pStyle w:val="ListParagraph"/>
        <w:widowControl/>
        <w:numPr>
          <w:ilvl w:val="0"/>
          <w:numId w:val="11"/>
        </w:numPr>
        <w:autoSpaceDE/>
        <w:autoSpaceDN/>
        <w:jc w:val="both"/>
        <w:rPr>
          <w:rFonts w:ascii="Arial" w:hAnsi="Arial" w:cs="Arial"/>
          <w:sz w:val="20"/>
          <w:szCs w:val="20"/>
        </w:rPr>
      </w:pPr>
      <w:r>
        <w:rPr>
          <w:rFonts w:ascii="Arial" w:hAnsi="Arial" w:cs="Arial"/>
          <w:sz w:val="20"/>
          <w:szCs w:val="20"/>
        </w:rPr>
        <w:t>Revenue</w:t>
      </w:r>
      <w:r w:rsidRPr="00530CF2">
        <w:rPr>
          <w:rFonts w:ascii="Arial" w:hAnsi="Arial" w:cs="Arial"/>
          <w:sz w:val="20"/>
          <w:szCs w:val="20"/>
        </w:rPr>
        <w:t xml:space="preserve"> of £9.5m</w:t>
      </w:r>
    </w:p>
    <w:p w:rsidR="00B44B33" w:rsidRDefault="00B44B33" w:rsidP="00530CF2">
      <w:pPr>
        <w:pStyle w:val="ListParagraph"/>
        <w:widowControl/>
        <w:numPr>
          <w:ilvl w:val="0"/>
          <w:numId w:val="11"/>
        </w:numPr>
        <w:autoSpaceDE/>
        <w:autoSpaceDN/>
        <w:jc w:val="both"/>
        <w:rPr>
          <w:rFonts w:ascii="Arial" w:hAnsi="Arial" w:cs="Arial"/>
          <w:sz w:val="20"/>
          <w:szCs w:val="20"/>
        </w:rPr>
      </w:pPr>
      <w:r>
        <w:rPr>
          <w:rFonts w:ascii="Arial" w:hAnsi="Arial" w:cs="Arial"/>
          <w:sz w:val="20"/>
          <w:szCs w:val="20"/>
        </w:rPr>
        <w:t>Operating</w:t>
      </w:r>
      <w:r w:rsidRPr="00530CF2">
        <w:rPr>
          <w:rFonts w:ascii="Arial" w:hAnsi="Arial" w:cs="Arial"/>
          <w:sz w:val="20"/>
          <w:szCs w:val="20"/>
        </w:rPr>
        <w:t xml:space="preserve"> expenses of £1</w:t>
      </w:r>
      <w:r>
        <w:rPr>
          <w:rFonts w:ascii="Arial" w:hAnsi="Arial" w:cs="Arial"/>
          <w:sz w:val="20"/>
          <w:szCs w:val="20"/>
        </w:rPr>
        <w:t>6.6</w:t>
      </w:r>
      <w:r w:rsidRPr="00530CF2">
        <w:rPr>
          <w:rFonts w:ascii="Arial" w:hAnsi="Arial" w:cs="Arial"/>
          <w:sz w:val="20"/>
          <w:szCs w:val="20"/>
        </w:rPr>
        <w:t>m</w:t>
      </w:r>
    </w:p>
    <w:p w:rsidR="00B44B33" w:rsidRPr="00530CF2" w:rsidRDefault="00B44B33" w:rsidP="00530CF2">
      <w:pPr>
        <w:pStyle w:val="ListParagraph"/>
        <w:widowControl/>
        <w:numPr>
          <w:ilvl w:val="0"/>
          <w:numId w:val="11"/>
        </w:numPr>
        <w:autoSpaceDE/>
        <w:autoSpaceDN/>
        <w:jc w:val="both"/>
        <w:rPr>
          <w:rFonts w:ascii="Arial" w:hAnsi="Arial" w:cs="Arial"/>
          <w:sz w:val="20"/>
          <w:szCs w:val="20"/>
        </w:rPr>
      </w:pPr>
      <w:r>
        <w:rPr>
          <w:rFonts w:ascii="Arial" w:hAnsi="Arial" w:cs="Arial"/>
          <w:sz w:val="20"/>
          <w:szCs w:val="20"/>
        </w:rPr>
        <w:t>Loss before non-recurring items and finance costs of £7.0m</w:t>
      </w:r>
    </w:p>
    <w:p w:rsidR="00B44B33" w:rsidRPr="00530CF2" w:rsidRDefault="00B44B33" w:rsidP="007F12C8">
      <w:pPr>
        <w:pStyle w:val="ListParagraph"/>
        <w:widowControl/>
        <w:numPr>
          <w:ilvl w:val="0"/>
          <w:numId w:val="11"/>
        </w:numPr>
        <w:autoSpaceDE/>
        <w:autoSpaceDN/>
        <w:jc w:val="both"/>
        <w:rPr>
          <w:rFonts w:ascii="Arial" w:hAnsi="Arial" w:cs="Arial"/>
          <w:sz w:val="20"/>
          <w:szCs w:val="20"/>
        </w:rPr>
      </w:pPr>
      <w:r w:rsidRPr="00530CF2">
        <w:rPr>
          <w:rFonts w:ascii="Arial" w:hAnsi="Arial" w:cs="Arial"/>
          <w:sz w:val="20"/>
          <w:szCs w:val="20"/>
        </w:rPr>
        <w:t xml:space="preserve">Profit before tax £9.5m driven by non-recurring release of </w:t>
      </w:r>
      <w:r>
        <w:rPr>
          <w:rFonts w:ascii="Arial" w:hAnsi="Arial" w:cs="Arial"/>
          <w:sz w:val="20"/>
          <w:szCs w:val="20"/>
        </w:rPr>
        <w:t xml:space="preserve">negative </w:t>
      </w:r>
      <w:r w:rsidRPr="00530CF2">
        <w:rPr>
          <w:rFonts w:ascii="Arial" w:hAnsi="Arial" w:cs="Arial"/>
          <w:sz w:val="20"/>
          <w:szCs w:val="20"/>
        </w:rPr>
        <w:t>goodwill of £20.</w:t>
      </w:r>
      <w:r>
        <w:rPr>
          <w:rFonts w:ascii="Arial" w:hAnsi="Arial" w:cs="Arial"/>
          <w:sz w:val="20"/>
          <w:szCs w:val="20"/>
        </w:rPr>
        <w:t>5</w:t>
      </w:r>
      <w:r w:rsidRPr="00530CF2">
        <w:rPr>
          <w:rFonts w:ascii="Arial" w:hAnsi="Arial" w:cs="Arial"/>
          <w:sz w:val="20"/>
          <w:szCs w:val="20"/>
        </w:rPr>
        <w:t>m</w:t>
      </w:r>
    </w:p>
    <w:p w:rsidR="00B44B33" w:rsidRPr="00530CF2" w:rsidRDefault="00B44B33" w:rsidP="00530CF2">
      <w:pPr>
        <w:pStyle w:val="ListParagraph"/>
        <w:widowControl/>
        <w:numPr>
          <w:ilvl w:val="0"/>
          <w:numId w:val="11"/>
        </w:numPr>
        <w:autoSpaceDE/>
        <w:autoSpaceDN/>
        <w:jc w:val="both"/>
        <w:rPr>
          <w:rFonts w:ascii="Arial" w:hAnsi="Arial" w:cs="Arial"/>
          <w:sz w:val="20"/>
          <w:szCs w:val="20"/>
        </w:rPr>
      </w:pPr>
      <w:r w:rsidRPr="00530CF2">
        <w:rPr>
          <w:rFonts w:ascii="Arial" w:hAnsi="Arial" w:cs="Arial"/>
          <w:sz w:val="20"/>
          <w:szCs w:val="20"/>
        </w:rPr>
        <w:t>Investment in football personnel of £1.6m in</w:t>
      </w:r>
      <w:r>
        <w:rPr>
          <w:rFonts w:ascii="Arial" w:hAnsi="Arial" w:cs="Arial"/>
          <w:sz w:val="20"/>
          <w:szCs w:val="20"/>
        </w:rPr>
        <w:t xml:space="preserve"> </w:t>
      </w:r>
      <w:r w:rsidRPr="00530CF2">
        <w:rPr>
          <w:rFonts w:ascii="Arial" w:hAnsi="Arial" w:cs="Arial"/>
          <w:sz w:val="20"/>
          <w:szCs w:val="20"/>
        </w:rPr>
        <w:t>line with strategy</w:t>
      </w:r>
    </w:p>
    <w:p w:rsidR="00B44B33" w:rsidRPr="00530CF2" w:rsidRDefault="00B44B33" w:rsidP="00530CF2">
      <w:pPr>
        <w:pStyle w:val="ListParagraph"/>
        <w:widowControl/>
        <w:numPr>
          <w:ilvl w:val="0"/>
          <w:numId w:val="11"/>
        </w:numPr>
        <w:autoSpaceDE/>
        <w:autoSpaceDN/>
        <w:jc w:val="both"/>
        <w:rPr>
          <w:rFonts w:ascii="Arial" w:hAnsi="Arial" w:cs="Arial"/>
          <w:sz w:val="20"/>
          <w:szCs w:val="20"/>
        </w:rPr>
      </w:pPr>
      <w:r w:rsidRPr="00530CF2">
        <w:rPr>
          <w:rFonts w:ascii="Arial" w:hAnsi="Arial" w:cs="Arial"/>
          <w:sz w:val="20"/>
          <w:szCs w:val="20"/>
        </w:rPr>
        <w:t xml:space="preserve">Finance leases of £1.9m </w:t>
      </w:r>
      <w:r>
        <w:rPr>
          <w:rFonts w:ascii="Arial" w:hAnsi="Arial" w:cs="Arial"/>
          <w:sz w:val="20"/>
          <w:szCs w:val="20"/>
        </w:rPr>
        <w:t>at 31 December 2012</w:t>
      </w:r>
    </w:p>
    <w:p w:rsidR="00B44B33" w:rsidRPr="00530CF2" w:rsidRDefault="00B44B33" w:rsidP="00530CF2">
      <w:pPr>
        <w:pStyle w:val="ListParagraph"/>
        <w:widowControl/>
        <w:numPr>
          <w:ilvl w:val="0"/>
          <w:numId w:val="11"/>
        </w:numPr>
        <w:autoSpaceDE/>
        <w:autoSpaceDN/>
        <w:jc w:val="both"/>
        <w:rPr>
          <w:rFonts w:ascii="Arial" w:hAnsi="Arial" w:cs="Arial"/>
          <w:sz w:val="20"/>
          <w:szCs w:val="20"/>
        </w:rPr>
      </w:pPr>
      <w:r w:rsidRPr="00530CF2">
        <w:rPr>
          <w:rFonts w:ascii="Arial" w:hAnsi="Arial" w:cs="Arial"/>
          <w:sz w:val="20"/>
          <w:szCs w:val="20"/>
        </w:rPr>
        <w:t>Cash of £21.2m as at 31 December 2012</w:t>
      </w:r>
    </w:p>
    <w:p w:rsidR="00B44B33" w:rsidRDefault="00B44B33" w:rsidP="00530CF2">
      <w:pPr>
        <w:pStyle w:val="ListParagraph"/>
        <w:widowControl/>
        <w:numPr>
          <w:ilvl w:val="0"/>
          <w:numId w:val="11"/>
        </w:numPr>
        <w:autoSpaceDE/>
        <w:autoSpaceDN/>
        <w:jc w:val="both"/>
        <w:rPr>
          <w:rFonts w:ascii="Arial" w:hAnsi="Arial" w:cs="Arial"/>
          <w:sz w:val="20"/>
          <w:szCs w:val="20"/>
        </w:rPr>
      </w:pPr>
      <w:r>
        <w:rPr>
          <w:rFonts w:ascii="Arial" w:hAnsi="Arial" w:cs="Arial"/>
          <w:sz w:val="20"/>
          <w:szCs w:val="20"/>
        </w:rPr>
        <w:t>Undertaking of</w:t>
      </w:r>
      <w:r w:rsidRPr="00530CF2">
        <w:rPr>
          <w:rFonts w:ascii="Arial" w:hAnsi="Arial" w:cs="Arial"/>
          <w:sz w:val="20"/>
          <w:szCs w:val="20"/>
        </w:rPr>
        <w:t xml:space="preserve"> debts of former Rangers Football Club plc of £2.8m </w:t>
      </w:r>
      <w:r>
        <w:rPr>
          <w:rFonts w:ascii="Arial" w:hAnsi="Arial" w:cs="Arial"/>
          <w:sz w:val="20"/>
          <w:szCs w:val="20"/>
        </w:rPr>
        <w:t>(</w:t>
      </w:r>
      <w:r w:rsidRPr="00530CF2">
        <w:rPr>
          <w:rFonts w:ascii="Arial" w:hAnsi="Arial" w:cs="Arial"/>
          <w:sz w:val="20"/>
          <w:szCs w:val="20"/>
        </w:rPr>
        <w:t>£251,000 remains to be paid in accordance with the terms agreed)</w:t>
      </w:r>
    </w:p>
    <w:p w:rsidR="00B44B33" w:rsidRDefault="00B44B33" w:rsidP="00530CF2">
      <w:pPr>
        <w:pStyle w:val="ListParagraph"/>
        <w:widowControl/>
        <w:autoSpaceDE/>
        <w:autoSpaceDN/>
        <w:jc w:val="both"/>
        <w:rPr>
          <w:rFonts w:ascii="Arial" w:hAnsi="Arial" w:cs="Arial"/>
          <w:sz w:val="20"/>
          <w:szCs w:val="20"/>
        </w:rPr>
      </w:pPr>
    </w:p>
    <w:p w:rsidR="00B44B33" w:rsidRPr="00530CF2" w:rsidRDefault="00B44B33" w:rsidP="00530CF2">
      <w:pPr>
        <w:pStyle w:val="ListParagraph"/>
        <w:widowControl/>
        <w:autoSpaceDE/>
        <w:autoSpaceDN/>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b/>
          <w:bCs/>
          <w:color w:val="000000"/>
          <w:sz w:val="20"/>
          <w:szCs w:val="20"/>
        </w:rPr>
        <w:t xml:space="preserve">Charles Green, CEO of Rangers, commented </w:t>
      </w:r>
      <w:r w:rsidRPr="00530CF2">
        <w:rPr>
          <w:rFonts w:ascii="Arial" w:hAnsi="Arial" w:cs="Arial"/>
          <w:bCs/>
          <w:color w:val="000000"/>
          <w:sz w:val="20"/>
          <w:szCs w:val="20"/>
        </w:rPr>
        <w:t>“</w:t>
      </w:r>
      <w:r w:rsidRPr="00530CF2">
        <w:rPr>
          <w:rFonts w:ascii="Arial" w:hAnsi="Arial" w:cs="Arial"/>
          <w:sz w:val="20"/>
          <w:szCs w:val="20"/>
        </w:rPr>
        <w:t xml:space="preserve">This has been a significant period in the Club’s history, in which vital steps were taken to ensure the survival and rebuilding of one of the </w:t>
      </w:r>
      <w:smartTag w:uri="urn:schemas-microsoft-com:office:smarttags" w:element="country-region">
        <w:smartTag w:uri="urn:schemas-microsoft-com:office:smarttags" w:element="place">
          <w:r w:rsidRPr="00530CF2">
            <w:rPr>
              <w:rFonts w:ascii="Arial" w:hAnsi="Arial" w:cs="Arial"/>
              <w:sz w:val="20"/>
              <w:szCs w:val="20"/>
            </w:rPr>
            <w:t>UK</w:t>
          </w:r>
        </w:smartTag>
      </w:smartTag>
      <w:r w:rsidRPr="00530CF2">
        <w:rPr>
          <w:rFonts w:ascii="Arial" w:hAnsi="Arial" w:cs="Arial"/>
          <w:sz w:val="20"/>
          <w:szCs w:val="20"/>
        </w:rPr>
        <w:t>’s most venerable football institutions. The priority for the Company to date has been to stabilise the business and put in place solid financial foundations for the future. To this end, revenue streams have been enhanced, and costs cut. In addition, important strategic steps have been taken, such as the agreements now in place with Sports Direct</w:t>
      </w:r>
      <w:r>
        <w:rPr>
          <w:rFonts w:ascii="Arial" w:hAnsi="Arial" w:cs="Arial"/>
          <w:sz w:val="20"/>
          <w:szCs w:val="20"/>
        </w:rPr>
        <w:t>,</w:t>
      </w:r>
      <w:r w:rsidRPr="00530CF2">
        <w:rPr>
          <w:rFonts w:ascii="Arial" w:hAnsi="Arial" w:cs="Arial"/>
          <w:sz w:val="20"/>
          <w:szCs w:val="20"/>
        </w:rPr>
        <w:t xml:space="preserve"> Puma</w:t>
      </w:r>
      <w:r>
        <w:rPr>
          <w:rFonts w:ascii="Arial" w:hAnsi="Arial" w:cs="Arial"/>
          <w:sz w:val="20"/>
          <w:szCs w:val="20"/>
        </w:rPr>
        <w:t xml:space="preserve"> and Blackthorn Cider</w:t>
      </w:r>
      <w:r w:rsidRPr="00530CF2">
        <w:rPr>
          <w:rFonts w:ascii="Arial" w:hAnsi="Arial" w:cs="Arial"/>
          <w:sz w:val="20"/>
          <w:szCs w:val="20"/>
        </w:rPr>
        <w:t xml:space="preserve">. These achievements have been made whilst retaining the important fabric and structure of the Club. </w:t>
      </w:r>
    </w:p>
    <w:p w:rsidR="00B44B33" w:rsidRPr="00530CF2" w:rsidRDefault="00B44B33" w:rsidP="00530CF2">
      <w:pPr>
        <w:jc w:val="both"/>
        <w:rPr>
          <w:rFonts w:ascii="Arial" w:hAnsi="Arial" w:cs="Arial"/>
          <w:sz w:val="20"/>
          <w:szCs w:val="20"/>
        </w:rPr>
      </w:pPr>
    </w:p>
    <w:p w:rsidR="00B44B33" w:rsidRDefault="00B44B33" w:rsidP="000C08F9">
      <w:pPr>
        <w:jc w:val="both"/>
        <w:rPr>
          <w:rFonts w:ascii="Arial" w:hAnsi="Arial" w:cs="Arial"/>
          <w:b/>
          <w:sz w:val="20"/>
          <w:szCs w:val="20"/>
        </w:rPr>
      </w:pPr>
      <w:r w:rsidRPr="00530CF2">
        <w:rPr>
          <w:rFonts w:ascii="Arial" w:hAnsi="Arial" w:cs="Arial"/>
          <w:sz w:val="20"/>
          <w:szCs w:val="20"/>
        </w:rPr>
        <w:t xml:space="preserve">“We will continue to execute our growth plan, and investors and supporters can have confidence in the development of operations as the Club progresses. Undoubtedly, challenges lie ahead but the Club is now well equipped to meet them successfully. Above all, the Club and its supporters are resolute in the belief that, both on and off the pitch, Rangers can look to the future with confidence and pride.”   </w:t>
      </w:r>
      <w:r>
        <w:rPr>
          <w:rFonts w:ascii="Arial" w:hAnsi="Arial" w:cs="Arial"/>
          <w:b/>
          <w:sz w:val="20"/>
          <w:szCs w:val="20"/>
        </w:rPr>
        <w:br w:type="page"/>
      </w:r>
    </w:p>
    <w:p w:rsidR="00B44B33" w:rsidRPr="00530CF2" w:rsidRDefault="00B44B33" w:rsidP="00530CF2">
      <w:pPr>
        <w:rPr>
          <w:rFonts w:ascii="Arial" w:hAnsi="Arial" w:cs="Arial"/>
          <w:b/>
          <w:sz w:val="20"/>
          <w:szCs w:val="20"/>
        </w:rPr>
      </w:pPr>
      <w:r w:rsidRPr="00530CF2">
        <w:rPr>
          <w:rFonts w:ascii="Arial" w:hAnsi="Arial" w:cs="Arial"/>
          <w:b/>
          <w:sz w:val="20"/>
          <w:szCs w:val="20"/>
        </w:rPr>
        <w:lastRenderedPageBreak/>
        <w:t>For further information please contact:</w:t>
      </w:r>
    </w:p>
    <w:p w:rsidR="00B44B33" w:rsidRPr="00530CF2" w:rsidRDefault="00B44B33" w:rsidP="00530CF2">
      <w:pPr>
        <w:rPr>
          <w:rFonts w:ascii="Arial" w:hAnsi="Arial" w:cs="Arial"/>
          <w:b/>
          <w:sz w:val="20"/>
          <w:szCs w:val="20"/>
        </w:rPr>
      </w:pPr>
    </w:p>
    <w:tbl>
      <w:tblPr>
        <w:tblW w:w="0" w:type="auto"/>
        <w:tblLook w:val="00A0" w:firstRow="1" w:lastRow="0" w:firstColumn="1" w:lastColumn="0" w:noHBand="0" w:noVBand="0"/>
      </w:tblPr>
      <w:tblGrid>
        <w:gridCol w:w="6616"/>
        <w:gridCol w:w="2624"/>
      </w:tblGrid>
      <w:tr w:rsidR="00B44B33" w:rsidRPr="00530CF2" w:rsidTr="008D2031">
        <w:tc>
          <w:tcPr>
            <w:tcW w:w="6912" w:type="dxa"/>
          </w:tcPr>
          <w:p w:rsidR="00B44B33" w:rsidRPr="00530CF2" w:rsidRDefault="00B44B33" w:rsidP="00530CF2">
            <w:pPr>
              <w:rPr>
                <w:rFonts w:ascii="Arial" w:hAnsi="Arial" w:cs="Arial"/>
                <w:sz w:val="20"/>
                <w:szCs w:val="20"/>
              </w:rPr>
            </w:pPr>
            <w:r w:rsidRPr="00530CF2">
              <w:rPr>
                <w:rFonts w:ascii="Arial" w:hAnsi="Arial" w:cs="Arial"/>
                <w:sz w:val="20"/>
                <w:szCs w:val="20"/>
              </w:rPr>
              <w:t>Rangers International Football Club plc</w:t>
            </w:r>
            <w:r w:rsidRPr="00530CF2">
              <w:rPr>
                <w:rFonts w:ascii="Arial" w:hAnsi="Arial" w:cs="Arial"/>
                <w:sz w:val="20"/>
                <w:szCs w:val="20"/>
              </w:rPr>
              <w:tab/>
            </w:r>
          </w:p>
        </w:tc>
        <w:tc>
          <w:tcPr>
            <w:tcW w:w="2664" w:type="dxa"/>
          </w:tcPr>
          <w:p w:rsidR="00B44B33" w:rsidRPr="00530CF2" w:rsidRDefault="00B44B33" w:rsidP="00530CF2">
            <w:pPr>
              <w:rPr>
                <w:rFonts w:ascii="Arial" w:hAnsi="Arial" w:cs="Arial"/>
                <w:i/>
                <w:sz w:val="20"/>
                <w:szCs w:val="20"/>
              </w:rPr>
            </w:pPr>
            <w:r w:rsidRPr="00530CF2">
              <w:rPr>
                <w:rFonts w:ascii="Arial" w:hAnsi="Arial" w:cs="Arial"/>
                <w:i/>
                <w:sz w:val="20"/>
                <w:szCs w:val="20"/>
              </w:rPr>
              <w:t>www.rangers.co.uk</w:t>
            </w:r>
          </w:p>
        </w:tc>
      </w:tr>
      <w:tr w:rsidR="00B44B33" w:rsidRPr="00530CF2" w:rsidTr="008D2031">
        <w:tc>
          <w:tcPr>
            <w:tcW w:w="6912" w:type="dxa"/>
          </w:tcPr>
          <w:p w:rsidR="00B44B33" w:rsidRPr="00530CF2" w:rsidRDefault="00B44B33" w:rsidP="00530CF2">
            <w:pPr>
              <w:rPr>
                <w:rFonts w:ascii="Arial" w:hAnsi="Arial" w:cs="Arial"/>
                <w:sz w:val="20"/>
                <w:szCs w:val="20"/>
              </w:rPr>
            </w:pPr>
            <w:r w:rsidRPr="00530CF2">
              <w:rPr>
                <w:rFonts w:ascii="Arial" w:hAnsi="Arial" w:cs="Arial"/>
                <w:sz w:val="20"/>
                <w:szCs w:val="20"/>
              </w:rPr>
              <w:t>Charles Green, CEO/ Brian Stockbridge, CFO</w:t>
            </w:r>
          </w:p>
        </w:tc>
        <w:tc>
          <w:tcPr>
            <w:tcW w:w="2664" w:type="dxa"/>
          </w:tcPr>
          <w:p w:rsidR="00B44B33" w:rsidRPr="00530CF2" w:rsidRDefault="00B44B33" w:rsidP="00530CF2">
            <w:pPr>
              <w:rPr>
                <w:rFonts w:ascii="Arial" w:hAnsi="Arial" w:cs="Arial"/>
                <w:sz w:val="20"/>
                <w:szCs w:val="20"/>
              </w:rPr>
            </w:pPr>
            <w:r w:rsidRPr="00530CF2">
              <w:rPr>
                <w:rFonts w:ascii="Arial" w:hAnsi="Arial" w:cs="Arial"/>
                <w:sz w:val="20"/>
                <w:szCs w:val="20"/>
              </w:rPr>
              <w:t>Tel:  0141 580 8647</w:t>
            </w:r>
          </w:p>
        </w:tc>
      </w:tr>
      <w:tr w:rsidR="00B44B33" w:rsidRPr="00530CF2" w:rsidTr="008D2031">
        <w:tc>
          <w:tcPr>
            <w:tcW w:w="6912" w:type="dxa"/>
          </w:tcPr>
          <w:p w:rsidR="00B44B33" w:rsidRPr="00530CF2" w:rsidRDefault="00B44B33" w:rsidP="00530CF2">
            <w:pPr>
              <w:rPr>
                <w:rFonts w:ascii="Arial" w:hAnsi="Arial" w:cs="Arial"/>
                <w:sz w:val="20"/>
                <w:szCs w:val="20"/>
              </w:rPr>
            </w:pPr>
          </w:p>
        </w:tc>
        <w:tc>
          <w:tcPr>
            <w:tcW w:w="2664" w:type="dxa"/>
          </w:tcPr>
          <w:p w:rsidR="00B44B33" w:rsidRPr="00530CF2" w:rsidRDefault="00B44B33" w:rsidP="00530CF2">
            <w:pPr>
              <w:rPr>
                <w:rFonts w:ascii="Arial" w:hAnsi="Arial" w:cs="Arial"/>
                <w:sz w:val="20"/>
                <w:szCs w:val="20"/>
              </w:rPr>
            </w:pPr>
          </w:p>
        </w:tc>
      </w:tr>
      <w:tr w:rsidR="00B44B33" w:rsidRPr="00530CF2" w:rsidTr="008D2031">
        <w:tc>
          <w:tcPr>
            <w:tcW w:w="6912" w:type="dxa"/>
          </w:tcPr>
          <w:p w:rsidR="00B44B33" w:rsidRPr="00530CF2" w:rsidRDefault="00B44B33" w:rsidP="00530CF2">
            <w:pPr>
              <w:rPr>
                <w:rFonts w:ascii="Arial" w:hAnsi="Arial" w:cs="Arial"/>
                <w:sz w:val="20"/>
                <w:szCs w:val="20"/>
              </w:rPr>
            </w:pPr>
            <w:r w:rsidRPr="00530CF2">
              <w:rPr>
                <w:rFonts w:ascii="Arial" w:hAnsi="Arial" w:cs="Arial"/>
                <w:sz w:val="20"/>
                <w:szCs w:val="20"/>
              </w:rPr>
              <w:t>Cenkos Securities plc</w:t>
            </w:r>
          </w:p>
        </w:tc>
        <w:tc>
          <w:tcPr>
            <w:tcW w:w="2664" w:type="dxa"/>
          </w:tcPr>
          <w:p w:rsidR="00B44B33" w:rsidRPr="00530CF2" w:rsidRDefault="00B44B33" w:rsidP="00530CF2">
            <w:pPr>
              <w:rPr>
                <w:rFonts w:ascii="Arial" w:hAnsi="Arial" w:cs="Arial"/>
                <w:sz w:val="20"/>
                <w:szCs w:val="20"/>
              </w:rPr>
            </w:pPr>
          </w:p>
        </w:tc>
      </w:tr>
      <w:tr w:rsidR="00B44B33" w:rsidRPr="00530CF2" w:rsidTr="008D2031">
        <w:tc>
          <w:tcPr>
            <w:tcW w:w="6912" w:type="dxa"/>
          </w:tcPr>
          <w:p w:rsidR="00B44B33" w:rsidRPr="00530CF2" w:rsidRDefault="00B44B33" w:rsidP="00530CF2">
            <w:pPr>
              <w:rPr>
                <w:rFonts w:ascii="Arial" w:hAnsi="Arial" w:cs="Arial"/>
                <w:sz w:val="20"/>
                <w:szCs w:val="20"/>
              </w:rPr>
            </w:pPr>
            <w:r w:rsidRPr="00530CF2">
              <w:rPr>
                <w:rFonts w:ascii="Arial" w:hAnsi="Arial" w:cs="Arial"/>
                <w:sz w:val="20"/>
                <w:szCs w:val="20"/>
              </w:rPr>
              <w:t>Stephen Keys, Adrian Hargrave, Max Hartley (Corporate Finance)</w:t>
            </w:r>
          </w:p>
        </w:tc>
        <w:tc>
          <w:tcPr>
            <w:tcW w:w="2664" w:type="dxa"/>
          </w:tcPr>
          <w:p w:rsidR="00B44B33" w:rsidRPr="00530CF2" w:rsidRDefault="00B44B33" w:rsidP="00530CF2">
            <w:pPr>
              <w:rPr>
                <w:rFonts w:ascii="Arial" w:hAnsi="Arial" w:cs="Arial"/>
                <w:sz w:val="20"/>
                <w:szCs w:val="20"/>
              </w:rPr>
            </w:pPr>
            <w:r w:rsidRPr="00530CF2">
              <w:rPr>
                <w:rFonts w:ascii="Arial" w:hAnsi="Arial" w:cs="Arial"/>
                <w:sz w:val="20"/>
                <w:szCs w:val="20"/>
              </w:rPr>
              <w:t>Tel: 020 7397 8900</w:t>
            </w:r>
          </w:p>
        </w:tc>
      </w:tr>
      <w:tr w:rsidR="00B44B33" w:rsidRPr="00530CF2" w:rsidTr="008D2031">
        <w:tc>
          <w:tcPr>
            <w:tcW w:w="6912" w:type="dxa"/>
          </w:tcPr>
          <w:p w:rsidR="00B44B33" w:rsidRPr="00530CF2" w:rsidRDefault="00B44B33" w:rsidP="00530CF2">
            <w:pPr>
              <w:rPr>
                <w:rFonts w:ascii="Arial" w:hAnsi="Arial" w:cs="Arial"/>
                <w:sz w:val="20"/>
                <w:szCs w:val="20"/>
              </w:rPr>
            </w:pPr>
            <w:r w:rsidRPr="00530CF2">
              <w:rPr>
                <w:rFonts w:ascii="Arial" w:hAnsi="Arial" w:cs="Arial"/>
                <w:sz w:val="20"/>
                <w:szCs w:val="20"/>
              </w:rPr>
              <w:t>Russell Kerr (Corporate Broking)</w:t>
            </w:r>
          </w:p>
        </w:tc>
        <w:tc>
          <w:tcPr>
            <w:tcW w:w="2664" w:type="dxa"/>
          </w:tcPr>
          <w:p w:rsidR="00B44B33" w:rsidRPr="00530CF2" w:rsidRDefault="00B44B33" w:rsidP="00530CF2">
            <w:pPr>
              <w:rPr>
                <w:rFonts w:ascii="Arial" w:hAnsi="Arial" w:cs="Arial"/>
                <w:sz w:val="20"/>
                <w:szCs w:val="20"/>
              </w:rPr>
            </w:pPr>
          </w:p>
        </w:tc>
      </w:tr>
      <w:tr w:rsidR="00B44B33" w:rsidRPr="00530CF2" w:rsidTr="008D2031">
        <w:tc>
          <w:tcPr>
            <w:tcW w:w="6912" w:type="dxa"/>
          </w:tcPr>
          <w:p w:rsidR="00B44B33" w:rsidRPr="00530CF2" w:rsidRDefault="00B44B33" w:rsidP="00530CF2">
            <w:pPr>
              <w:rPr>
                <w:rFonts w:ascii="Arial" w:hAnsi="Arial" w:cs="Arial"/>
                <w:sz w:val="20"/>
                <w:szCs w:val="20"/>
              </w:rPr>
            </w:pPr>
          </w:p>
        </w:tc>
        <w:tc>
          <w:tcPr>
            <w:tcW w:w="2664" w:type="dxa"/>
          </w:tcPr>
          <w:p w:rsidR="00B44B33" w:rsidRPr="00530CF2" w:rsidRDefault="00B44B33" w:rsidP="00530CF2">
            <w:pPr>
              <w:rPr>
                <w:rFonts w:ascii="Arial" w:hAnsi="Arial" w:cs="Arial"/>
                <w:sz w:val="20"/>
                <w:szCs w:val="20"/>
              </w:rPr>
            </w:pPr>
          </w:p>
        </w:tc>
      </w:tr>
      <w:tr w:rsidR="00B44B33" w:rsidRPr="00530CF2" w:rsidTr="008D2031">
        <w:tc>
          <w:tcPr>
            <w:tcW w:w="6912" w:type="dxa"/>
          </w:tcPr>
          <w:p w:rsidR="00B44B33" w:rsidRPr="00530CF2" w:rsidRDefault="00B44B33" w:rsidP="00530CF2">
            <w:pPr>
              <w:rPr>
                <w:rFonts w:ascii="Arial" w:hAnsi="Arial" w:cs="Arial"/>
                <w:sz w:val="20"/>
                <w:szCs w:val="20"/>
              </w:rPr>
            </w:pPr>
            <w:r w:rsidRPr="00530CF2">
              <w:rPr>
                <w:rFonts w:ascii="Arial" w:hAnsi="Arial" w:cs="Arial"/>
                <w:sz w:val="20"/>
                <w:szCs w:val="20"/>
              </w:rPr>
              <w:t>Newgate Threadneedle</w:t>
            </w:r>
          </w:p>
        </w:tc>
        <w:tc>
          <w:tcPr>
            <w:tcW w:w="2664" w:type="dxa"/>
          </w:tcPr>
          <w:p w:rsidR="00B44B33" w:rsidRPr="00530CF2" w:rsidRDefault="00B44B33" w:rsidP="00530CF2">
            <w:pPr>
              <w:rPr>
                <w:rFonts w:ascii="Arial" w:hAnsi="Arial" w:cs="Arial"/>
                <w:sz w:val="20"/>
                <w:szCs w:val="20"/>
              </w:rPr>
            </w:pPr>
          </w:p>
        </w:tc>
      </w:tr>
      <w:tr w:rsidR="00B44B33" w:rsidRPr="00530CF2" w:rsidTr="008D2031">
        <w:tc>
          <w:tcPr>
            <w:tcW w:w="6912" w:type="dxa"/>
          </w:tcPr>
          <w:p w:rsidR="00B44B33" w:rsidRPr="00530CF2" w:rsidRDefault="00B44B33" w:rsidP="00530CF2">
            <w:pPr>
              <w:rPr>
                <w:rFonts w:ascii="Arial" w:hAnsi="Arial" w:cs="Arial"/>
                <w:sz w:val="20"/>
                <w:szCs w:val="20"/>
              </w:rPr>
            </w:pPr>
            <w:r w:rsidRPr="00530CF2">
              <w:rPr>
                <w:rFonts w:ascii="Arial" w:hAnsi="Arial" w:cs="Arial"/>
                <w:sz w:val="20"/>
                <w:szCs w:val="20"/>
              </w:rPr>
              <w:t>Graham Herring / John Coles / Roddy Watt / Fiona Conroy</w:t>
            </w:r>
          </w:p>
        </w:tc>
        <w:tc>
          <w:tcPr>
            <w:tcW w:w="2664" w:type="dxa"/>
          </w:tcPr>
          <w:p w:rsidR="00B44B33" w:rsidRPr="00530CF2" w:rsidRDefault="00B44B33" w:rsidP="00530CF2">
            <w:pPr>
              <w:rPr>
                <w:rFonts w:ascii="Arial" w:hAnsi="Arial" w:cs="Arial"/>
                <w:sz w:val="20"/>
                <w:szCs w:val="20"/>
              </w:rPr>
            </w:pPr>
            <w:r w:rsidRPr="00530CF2">
              <w:rPr>
                <w:rFonts w:ascii="Arial" w:hAnsi="Arial" w:cs="Arial"/>
                <w:sz w:val="20"/>
                <w:szCs w:val="20"/>
              </w:rPr>
              <w:t>Tel: 020 7148 6143</w:t>
            </w:r>
          </w:p>
        </w:tc>
      </w:tr>
    </w:tbl>
    <w:p w:rsidR="00B44B33" w:rsidRPr="00530CF2" w:rsidRDefault="00B44B33" w:rsidP="00530CF2">
      <w:pPr>
        <w:ind w:left="360"/>
        <w:rPr>
          <w:rFonts w:ascii="Arial" w:hAnsi="Arial" w:cs="Arial"/>
          <w:sz w:val="20"/>
          <w:szCs w:val="20"/>
          <w:lang w:val="en-GB"/>
        </w:rPr>
      </w:pPr>
    </w:p>
    <w:p w:rsidR="00B44B33" w:rsidRPr="00530CF2" w:rsidRDefault="00B44B33" w:rsidP="00530CF2">
      <w:pPr>
        <w:widowControl/>
        <w:autoSpaceDE/>
        <w:autoSpaceDN/>
        <w:rPr>
          <w:rFonts w:ascii="Arial" w:hAnsi="Arial" w:cs="Arial"/>
          <w:sz w:val="20"/>
          <w:szCs w:val="20"/>
        </w:rPr>
      </w:pPr>
    </w:p>
    <w:p w:rsidR="00B44B33" w:rsidRPr="00530CF2" w:rsidRDefault="00B44B33" w:rsidP="00530CF2">
      <w:pPr>
        <w:rPr>
          <w:rFonts w:ascii="Arial" w:hAnsi="Arial" w:cs="Arial"/>
          <w:b/>
          <w:sz w:val="20"/>
          <w:szCs w:val="20"/>
        </w:rPr>
      </w:pPr>
      <w:r w:rsidRPr="00530CF2">
        <w:rPr>
          <w:rFonts w:ascii="Arial" w:hAnsi="Arial" w:cs="Arial"/>
          <w:b/>
          <w:sz w:val="20"/>
          <w:szCs w:val="20"/>
        </w:rPr>
        <w:t>About Rangers Football Club</w:t>
      </w:r>
    </w:p>
    <w:p w:rsidR="00B44B33" w:rsidRPr="00530CF2" w:rsidRDefault="00B44B33" w:rsidP="00530CF2">
      <w:pPr>
        <w:rPr>
          <w:rFonts w:ascii="Arial" w:hAnsi="Arial" w:cs="Arial"/>
          <w:b/>
          <w:sz w:val="20"/>
          <w:szCs w:val="20"/>
        </w:rPr>
      </w:pPr>
    </w:p>
    <w:p w:rsidR="00B44B33" w:rsidRPr="00530CF2" w:rsidRDefault="00B44B33" w:rsidP="00530CF2">
      <w:pPr>
        <w:adjustRightInd w:val="0"/>
        <w:jc w:val="both"/>
        <w:rPr>
          <w:rFonts w:ascii="Arial" w:hAnsi="Arial" w:cs="Arial"/>
          <w:sz w:val="20"/>
          <w:szCs w:val="20"/>
        </w:rPr>
      </w:pPr>
      <w:r w:rsidRPr="00530CF2">
        <w:rPr>
          <w:rFonts w:ascii="Arial" w:hAnsi="Arial" w:cs="Arial"/>
          <w:sz w:val="20"/>
          <w:szCs w:val="20"/>
        </w:rPr>
        <w:t xml:space="preserve">Rangers Football Club, formed in </w:t>
      </w:r>
      <w:smartTag w:uri="urn:schemas-microsoft-com:office:smarttags" w:element="country-region">
        <w:smartTag w:uri="urn:schemas-microsoft-com:office:smarttags" w:element="place">
          <w:r w:rsidRPr="00530CF2">
            <w:rPr>
              <w:rFonts w:ascii="Arial" w:hAnsi="Arial" w:cs="Arial"/>
              <w:sz w:val="20"/>
              <w:szCs w:val="20"/>
            </w:rPr>
            <w:t>Scotland</w:t>
          </w:r>
        </w:smartTag>
      </w:smartTag>
      <w:r w:rsidRPr="00530CF2">
        <w:rPr>
          <w:rFonts w:ascii="Arial" w:hAnsi="Arial" w:cs="Arial"/>
          <w:sz w:val="20"/>
          <w:szCs w:val="20"/>
        </w:rPr>
        <w:t xml:space="preserve"> in 1872, is one of the world’s most successful clubs, having won 54 League titles, 33 Scottish Cups, 27 League Cups and the European Cup Winners’ Cup in 1972. The Club’s loyal and sizeable supporter base, both in </w:t>
      </w:r>
      <w:smartTag w:uri="urn:schemas-microsoft-com:office:smarttags" w:element="country-region">
        <w:r w:rsidRPr="00530CF2">
          <w:rPr>
            <w:rFonts w:ascii="Arial" w:hAnsi="Arial" w:cs="Arial"/>
            <w:sz w:val="20"/>
            <w:szCs w:val="20"/>
          </w:rPr>
          <w:t>Scotland</w:t>
        </w:r>
      </w:smartTag>
      <w:r w:rsidRPr="00530CF2">
        <w:rPr>
          <w:rFonts w:ascii="Arial" w:hAnsi="Arial" w:cs="Arial"/>
          <w:sz w:val="20"/>
          <w:szCs w:val="20"/>
        </w:rPr>
        <w:t xml:space="preserve"> and around the world, enables the Club to boast one of the highest percentages of season ticket holders in the </w:t>
      </w:r>
      <w:smartTag w:uri="urn:schemas-microsoft-com:office:smarttags" w:element="country-region">
        <w:smartTag w:uri="urn:schemas-microsoft-com:office:smarttags" w:element="place">
          <w:r w:rsidRPr="00530CF2">
            <w:rPr>
              <w:rFonts w:ascii="Arial" w:hAnsi="Arial" w:cs="Arial"/>
              <w:sz w:val="20"/>
              <w:szCs w:val="20"/>
            </w:rPr>
            <w:t>UK</w:t>
          </w:r>
        </w:smartTag>
      </w:smartTag>
      <w:r w:rsidRPr="00530CF2">
        <w:rPr>
          <w:rFonts w:ascii="Arial" w:hAnsi="Arial" w:cs="Arial"/>
          <w:sz w:val="20"/>
          <w:szCs w:val="20"/>
        </w:rPr>
        <w:t xml:space="preserve">, with over 38,000 having been sold for the current season. Playing at the 51,082 seater Ibrox Stadium and benefitting from the world class 37 acre </w:t>
      </w:r>
      <w:smartTag w:uri="urn:schemas-microsoft-com:office:smarttags" w:element="PlaceName">
        <w:smartTag w:uri="urn:schemas-microsoft-com:office:smarttags" w:element="place">
          <w:r w:rsidRPr="00530CF2">
            <w:rPr>
              <w:rFonts w:ascii="Arial" w:hAnsi="Arial" w:cs="Arial"/>
              <w:sz w:val="20"/>
              <w:szCs w:val="20"/>
            </w:rPr>
            <w:t>Murray</w:t>
          </w:r>
        </w:smartTag>
        <w:r w:rsidRPr="00530CF2">
          <w:rPr>
            <w:rFonts w:ascii="Arial" w:hAnsi="Arial" w:cs="Arial"/>
            <w:sz w:val="20"/>
            <w:szCs w:val="20"/>
          </w:rPr>
          <w:t xml:space="preserve"> </w:t>
        </w:r>
        <w:smartTag w:uri="urn:schemas-microsoft-com:office:smarttags" w:element="PlaceType">
          <w:r w:rsidRPr="00530CF2">
            <w:rPr>
              <w:rFonts w:ascii="Arial" w:hAnsi="Arial" w:cs="Arial"/>
              <w:sz w:val="20"/>
              <w:szCs w:val="20"/>
            </w:rPr>
            <w:t>Park</w:t>
          </w:r>
        </w:smartTag>
      </w:smartTag>
      <w:r w:rsidRPr="00530CF2">
        <w:rPr>
          <w:rFonts w:ascii="Arial" w:hAnsi="Arial" w:cs="Arial"/>
          <w:sz w:val="20"/>
          <w:szCs w:val="20"/>
        </w:rPr>
        <w:t xml:space="preserve"> training facility, the Club has been a dominant force in Scottish football for decades. This</w:t>
      </w:r>
      <w:r w:rsidRPr="00530CF2">
        <w:rPr>
          <w:rFonts w:ascii="Arial" w:hAnsi="Arial" w:cs="Arial"/>
          <w:sz w:val="20"/>
          <w:szCs w:val="20"/>
          <w:lang w:val="en-GB"/>
        </w:rPr>
        <w:t xml:space="preserve"> world class stadium, training infrastructure and a loyal and passionate global fanbase provide an excellent foundation for the Rangers Group.</w:t>
      </w:r>
    </w:p>
    <w:p w:rsidR="00B44B33" w:rsidRPr="00530CF2" w:rsidRDefault="00B44B33" w:rsidP="00530CF2">
      <w:pPr>
        <w:adjustRightInd w:val="0"/>
        <w:jc w:val="both"/>
        <w:rPr>
          <w:rFonts w:ascii="Arial" w:hAnsi="Arial" w:cs="Arial"/>
          <w:sz w:val="20"/>
          <w:szCs w:val="20"/>
          <w:lang w:val="en-GB"/>
        </w:rPr>
      </w:pPr>
    </w:p>
    <w:p w:rsidR="00B44B33" w:rsidRPr="00530CF2" w:rsidRDefault="00B44B33" w:rsidP="00530CF2">
      <w:pPr>
        <w:adjustRightInd w:val="0"/>
        <w:jc w:val="both"/>
        <w:rPr>
          <w:rFonts w:ascii="Arial" w:hAnsi="Arial" w:cs="Arial"/>
          <w:sz w:val="20"/>
          <w:szCs w:val="20"/>
          <w:lang w:val="en-GB"/>
        </w:rPr>
      </w:pPr>
      <w:r w:rsidRPr="00530CF2">
        <w:rPr>
          <w:rFonts w:ascii="Arial" w:hAnsi="Arial" w:cs="Arial"/>
          <w:sz w:val="20"/>
          <w:szCs w:val="20"/>
          <w:lang w:val="en-GB"/>
        </w:rPr>
        <w:t xml:space="preserve">Currently the Club is competing in Division 3 of the SFL, though it is the intention of the Directors and the manager for the Club to return to top level football as soon as possible. The history, facilities and ambition of the Club are such that the Club remains a desirable destination for foreign and domestic players alike. The first team squad is managed by Ally McCoist, the former Rangers forward, who remains the Club’s all-time leading goal scorer. </w:t>
      </w:r>
    </w:p>
    <w:p w:rsidR="00B44B33" w:rsidRPr="00530CF2" w:rsidRDefault="00B44B33" w:rsidP="00530CF2">
      <w:pPr>
        <w:adjustRightInd w:val="0"/>
        <w:jc w:val="both"/>
        <w:rPr>
          <w:rFonts w:ascii="Arial" w:hAnsi="Arial" w:cs="Arial"/>
          <w:sz w:val="20"/>
          <w:szCs w:val="20"/>
          <w:lang w:val="en-GB"/>
        </w:rPr>
      </w:pPr>
    </w:p>
    <w:p w:rsidR="00B44B33" w:rsidRPr="00530CF2" w:rsidRDefault="00B44B33" w:rsidP="00530CF2">
      <w:pPr>
        <w:adjustRightInd w:val="0"/>
        <w:jc w:val="both"/>
        <w:rPr>
          <w:rFonts w:ascii="Arial" w:hAnsi="Arial" w:cs="Arial"/>
          <w:sz w:val="20"/>
          <w:szCs w:val="20"/>
          <w:lang w:val="en-GB"/>
        </w:rPr>
      </w:pPr>
      <w:r w:rsidRPr="00530CF2">
        <w:rPr>
          <w:rFonts w:ascii="Arial" w:hAnsi="Arial" w:cs="Arial"/>
          <w:sz w:val="20"/>
          <w:szCs w:val="20"/>
          <w:lang w:val="en-GB"/>
        </w:rPr>
        <w:t xml:space="preserve">For more information please visit the website: </w:t>
      </w:r>
      <w:hyperlink r:id="rId8" w:history="1">
        <w:r w:rsidRPr="00530CF2">
          <w:rPr>
            <w:rStyle w:val="Hyperlink"/>
            <w:rFonts w:ascii="Arial" w:hAnsi="Arial" w:cs="Arial"/>
            <w:sz w:val="20"/>
            <w:szCs w:val="20"/>
            <w:lang w:val="en-GB"/>
          </w:rPr>
          <w:t>www.rangers.co.uk</w:t>
        </w:r>
      </w:hyperlink>
    </w:p>
    <w:p w:rsidR="00B44B33" w:rsidRPr="00530CF2" w:rsidRDefault="00B44B33" w:rsidP="00530CF2">
      <w:pPr>
        <w:widowControl/>
        <w:autoSpaceDE/>
        <w:autoSpaceDN/>
        <w:rPr>
          <w:rFonts w:ascii="Arial" w:hAnsi="Arial" w:cs="Arial"/>
          <w:b/>
        </w:rPr>
      </w:pPr>
      <w:r w:rsidRPr="00530CF2">
        <w:rPr>
          <w:rFonts w:ascii="Arial" w:hAnsi="Arial" w:cs="Arial"/>
          <w:sz w:val="20"/>
          <w:szCs w:val="20"/>
        </w:rPr>
        <w:br w:type="page"/>
      </w:r>
      <w:r w:rsidRPr="00530CF2">
        <w:rPr>
          <w:rFonts w:ascii="Arial" w:hAnsi="Arial" w:cs="Arial"/>
          <w:b/>
        </w:rPr>
        <w:lastRenderedPageBreak/>
        <w:t>Chairman’s Statement</w:t>
      </w:r>
    </w:p>
    <w:p w:rsidR="00B44B33" w:rsidRPr="00530CF2" w:rsidRDefault="00B44B33" w:rsidP="00530CF2">
      <w:pPr>
        <w:widowControl/>
        <w:autoSpaceDE/>
        <w:autoSpaceDN/>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 xml:space="preserve">This has been a period of extraordinary progress for the Club and I am pleased to announce the financial results for Rangers International Football Club plc. </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 xml:space="preserve">These interim results cover the seven-month period to 31 December 2012 and reflect the fact that the Club is successfully rebuilding one of the </w:t>
      </w:r>
      <w:smartTag w:uri="urn:schemas-microsoft-com:office:smarttags" w:element="country-region">
        <w:smartTag w:uri="urn:schemas-microsoft-com:office:smarttags" w:element="place">
          <w:r w:rsidRPr="00530CF2">
            <w:rPr>
              <w:rFonts w:ascii="Arial" w:hAnsi="Arial" w:cs="Arial"/>
              <w:sz w:val="20"/>
              <w:szCs w:val="20"/>
            </w:rPr>
            <w:t>UK</w:t>
          </w:r>
        </w:smartTag>
      </w:smartTag>
      <w:r w:rsidRPr="00530CF2">
        <w:rPr>
          <w:rFonts w:ascii="Arial" w:hAnsi="Arial" w:cs="Arial"/>
          <w:sz w:val="20"/>
          <w:szCs w:val="20"/>
        </w:rPr>
        <w:t>’s most renowned football institutions.</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 xml:space="preserve">The acquisition of the </w:t>
      </w:r>
      <w:r>
        <w:rPr>
          <w:rFonts w:ascii="Arial" w:hAnsi="Arial" w:cs="Arial"/>
          <w:sz w:val="20"/>
          <w:szCs w:val="20"/>
        </w:rPr>
        <w:t xml:space="preserve">trade and assets of the </w:t>
      </w:r>
      <w:r w:rsidRPr="00530CF2">
        <w:rPr>
          <w:rFonts w:ascii="Arial" w:hAnsi="Arial" w:cs="Arial"/>
          <w:sz w:val="20"/>
          <w:szCs w:val="20"/>
        </w:rPr>
        <w:t>then Rangers Football Club plc by a consortium of investors was completed on 14 June 2012 and heralded the end of a traumatic period for the Club</w:t>
      </w:r>
      <w:r>
        <w:rPr>
          <w:rFonts w:ascii="Arial" w:hAnsi="Arial" w:cs="Arial"/>
          <w:sz w:val="20"/>
          <w:szCs w:val="20"/>
        </w:rPr>
        <w:t>,</w:t>
      </w:r>
      <w:r w:rsidRPr="00530CF2">
        <w:rPr>
          <w:rFonts w:ascii="Arial" w:hAnsi="Arial" w:cs="Arial"/>
          <w:sz w:val="20"/>
          <w:szCs w:val="20"/>
        </w:rPr>
        <w:t xml:space="preserve"> during which</w:t>
      </w:r>
      <w:r>
        <w:rPr>
          <w:rFonts w:ascii="Arial" w:hAnsi="Arial" w:cs="Arial"/>
          <w:sz w:val="20"/>
          <w:szCs w:val="20"/>
        </w:rPr>
        <w:t xml:space="preserve"> the then Rangers Football Club plc</w:t>
      </w:r>
      <w:r w:rsidRPr="00530CF2">
        <w:rPr>
          <w:rFonts w:ascii="Arial" w:hAnsi="Arial" w:cs="Arial"/>
          <w:sz w:val="20"/>
          <w:szCs w:val="20"/>
        </w:rPr>
        <w:t xml:space="preserve"> had been placed into administration by the previous owner. Following the rejection of a Company Voluntary Arrangement by creditors, the Rangers Football Club plc was </w:t>
      </w:r>
      <w:r>
        <w:rPr>
          <w:rFonts w:ascii="Arial" w:hAnsi="Arial" w:cs="Arial"/>
          <w:sz w:val="20"/>
          <w:szCs w:val="20"/>
        </w:rPr>
        <w:t xml:space="preserve">put into </w:t>
      </w:r>
      <w:r w:rsidRPr="00530CF2">
        <w:rPr>
          <w:rFonts w:ascii="Arial" w:hAnsi="Arial" w:cs="Arial"/>
          <w:sz w:val="20"/>
          <w:szCs w:val="20"/>
        </w:rPr>
        <w:t>liquidat</w:t>
      </w:r>
      <w:r>
        <w:rPr>
          <w:rFonts w:ascii="Arial" w:hAnsi="Arial" w:cs="Arial"/>
          <w:sz w:val="20"/>
          <w:szCs w:val="20"/>
        </w:rPr>
        <w:t>ion</w:t>
      </w:r>
      <w:r w:rsidRPr="00530CF2">
        <w:rPr>
          <w:rFonts w:ascii="Arial" w:hAnsi="Arial" w:cs="Arial"/>
          <w:sz w:val="20"/>
          <w:szCs w:val="20"/>
        </w:rPr>
        <w:t xml:space="preserve"> and subsequently Rangers International Football Club plc was created, incorporating The Rangers Football Club Ltd</w:t>
      </w:r>
      <w:r>
        <w:rPr>
          <w:rFonts w:ascii="Arial" w:hAnsi="Arial" w:cs="Arial"/>
          <w:sz w:val="20"/>
          <w:szCs w:val="20"/>
        </w:rPr>
        <w:t xml:space="preserve"> into the Group</w:t>
      </w:r>
      <w:r w:rsidRPr="00530CF2">
        <w:rPr>
          <w:rFonts w:ascii="Arial" w:hAnsi="Arial" w:cs="Arial"/>
          <w:sz w:val="20"/>
          <w:szCs w:val="20"/>
        </w:rPr>
        <w:t>.</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 xml:space="preserve">Rangers has a 140 year track record of success in both the domestic and international arenas. With a squad based on youth and potential, led by manager Ally McCoist, the Club has made an encouraging start to the 2012/13 season and the Rangers brand and facilities provide tremendous opportunities for commercialisation and expansion. </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 xml:space="preserve">In my thirty years investment experience, I have never seen a </w:t>
      </w:r>
      <w:r>
        <w:rPr>
          <w:rFonts w:ascii="Arial" w:hAnsi="Arial" w:cs="Arial"/>
          <w:sz w:val="20"/>
          <w:szCs w:val="20"/>
        </w:rPr>
        <w:t>business</w:t>
      </w:r>
      <w:r w:rsidRPr="00530CF2">
        <w:rPr>
          <w:rFonts w:ascii="Arial" w:hAnsi="Arial" w:cs="Arial"/>
          <w:sz w:val="20"/>
          <w:szCs w:val="20"/>
        </w:rPr>
        <w:t xml:space="preserve"> move from </w:t>
      </w:r>
      <w:r>
        <w:rPr>
          <w:rFonts w:ascii="Arial" w:hAnsi="Arial" w:cs="Arial"/>
          <w:sz w:val="20"/>
          <w:szCs w:val="20"/>
        </w:rPr>
        <w:t xml:space="preserve">the  </w:t>
      </w:r>
      <w:r w:rsidRPr="00530CF2">
        <w:rPr>
          <w:rFonts w:ascii="Arial" w:hAnsi="Arial" w:cs="Arial"/>
          <w:sz w:val="20"/>
          <w:szCs w:val="20"/>
        </w:rPr>
        <w:t>liquidation</w:t>
      </w:r>
      <w:r>
        <w:rPr>
          <w:rFonts w:ascii="Arial" w:hAnsi="Arial" w:cs="Arial"/>
          <w:sz w:val="20"/>
          <w:szCs w:val="20"/>
        </w:rPr>
        <w:t xml:space="preserve"> of one company</w:t>
      </w:r>
      <w:r w:rsidRPr="00530CF2">
        <w:rPr>
          <w:rFonts w:ascii="Arial" w:hAnsi="Arial" w:cs="Arial"/>
          <w:sz w:val="20"/>
          <w:szCs w:val="20"/>
        </w:rPr>
        <w:t xml:space="preserve"> to </w:t>
      </w:r>
      <w:r>
        <w:rPr>
          <w:rFonts w:ascii="Arial" w:hAnsi="Arial" w:cs="Arial"/>
          <w:sz w:val="20"/>
          <w:szCs w:val="20"/>
        </w:rPr>
        <w:t xml:space="preserve">another’s </w:t>
      </w:r>
      <w:r w:rsidRPr="00530CF2">
        <w:rPr>
          <w:rFonts w:ascii="Arial" w:hAnsi="Arial" w:cs="Arial"/>
          <w:sz w:val="20"/>
          <w:szCs w:val="20"/>
        </w:rPr>
        <w:t>successful flotation in such a short space of time. This could only have been achieved by the outstanding efforts of management, staff, advisers and fans. This unity and sense of purpose has, rightly, been admired internationally.</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The Company’s performance to date will give further encouragement to all Rangers supporters who are unswerving in their commitment to ensure the Club enjoys a successful future.</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p>
    <w:p w:rsidR="00B44B33" w:rsidRDefault="00B44B33" w:rsidP="00530CF2">
      <w:pPr>
        <w:jc w:val="both"/>
        <w:rPr>
          <w:rFonts w:ascii="Arial" w:hAnsi="Arial" w:cs="Arial"/>
          <w:b/>
          <w:i/>
          <w:sz w:val="20"/>
          <w:szCs w:val="20"/>
        </w:rPr>
      </w:pPr>
      <w:r w:rsidRPr="00530CF2">
        <w:rPr>
          <w:rFonts w:ascii="Arial" w:hAnsi="Arial" w:cs="Arial"/>
          <w:b/>
          <w:i/>
          <w:sz w:val="20"/>
          <w:szCs w:val="20"/>
        </w:rPr>
        <w:t xml:space="preserve">Malcolm Murray </w:t>
      </w:r>
    </w:p>
    <w:p w:rsidR="00B44B33" w:rsidRPr="00530CF2" w:rsidRDefault="00B44B33" w:rsidP="00530CF2">
      <w:pPr>
        <w:jc w:val="both"/>
        <w:rPr>
          <w:rFonts w:ascii="Arial" w:hAnsi="Arial" w:cs="Arial"/>
          <w:i/>
          <w:sz w:val="20"/>
          <w:szCs w:val="20"/>
        </w:rPr>
      </w:pPr>
      <w:r w:rsidRPr="00530CF2">
        <w:rPr>
          <w:rFonts w:ascii="Arial" w:hAnsi="Arial" w:cs="Arial"/>
          <w:i/>
          <w:sz w:val="20"/>
          <w:szCs w:val="20"/>
        </w:rPr>
        <w:t>Chairman</w:t>
      </w:r>
    </w:p>
    <w:p w:rsidR="00B44B33" w:rsidRPr="00530CF2" w:rsidRDefault="00B44B33" w:rsidP="00530CF2">
      <w:pPr>
        <w:jc w:val="both"/>
        <w:rPr>
          <w:rFonts w:ascii="Arial" w:hAnsi="Arial" w:cs="Arial"/>
          <w:i/>
          <w:sz w:val="20"/>
          <w:szCs w:val="20"/>
        </w:rPr>
      </w:pPr>
      <w:r>
        <w:rPr>
          <w:rFonts w:ascii="Arial" w:hAnsi="Arial" w:cs="Arial"/>
          <w:i/>
          <w:sz w:val="20"/>
          <w:szCs w:val="20"/>
        </w:rPr>
        <w:t>4 March 2013</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b/>
        </w:rPr>
      </w:pPr>
      <w:r w:rsidRPr="00530CF2">
        <w:rPr>
          <w:rFonts w:ascii="Arial" w:hAnsi="Arial" w:cs="Arial"/>
          <w:b/>
          <w:sz w:val="20"/>
          <w:szCs w:val="20"/>
        </w:rPr>
        <w:br w:type="page"/>
      </w:r>
      <w:r w:rsidRPr="00530CF2">
        <w:rPr>
          <w:rFonts w:ascii="Arial" w:hAnsi="Arial" w:cs="Arial"/>
          <w:b/>
        </w:rPr>
        <w:t>Chief Executive’s Review</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 xml:space="preserve">These results reflect the execution of the published business plan and demonstrate the remarkable support and loyalty that is the hallmark of this football club. We have made great strides in a short spell but there is much work to be done to fully restore Rangers. </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 xml:space="preserve">Given that the Club is in the unprecedented situation of playing in the Scottish League Division 3, there is, at this stage, a clear impact on a range of revenue streams, particularly in broadcasting and with the absence of European participation. </w:t>
      </w:r>
      <w:r>
        <w:rPr>
          <w:rFonts w:ascii="Arial" w:hAnsi="Arial" w:cs="Arial"/>
          <w:sz w:val="20"/>
          <w:szCs w:val="20"/>
        </w:rPr>
        <w:t>We are pleased however that operational costs, particularly staff costs and wages, have been substantially reduced over the period</w:t>
      </w:r>
      <w:r w:rsidRPr="00AE07D8">
        <w:rPr>
          <w:rFonts w:ascii="Arial" w:hAnsi="Arial" w:cs="Arial"/>
          <w:sz w:val="20"/>
          <w:szCs w:val="20"/>
        </w:rPr>
        <w:t>,</w:t>
      </w:r>
      <w:r>
        <w:rPr>
          <w:rFonts w:ascii="Arial" w:hAnsi="Arial" w:cs="Arial"/>
          <w:sz w:val="20"/>
          <w:szCs w:val="20"/>
        </w:rPr>
        <w:t xml:space="preserve"> although </w:t>
      </w:r>
      <w:r w:rsidRPr="00AE07D8">
        <w:rPr>
          <w:rFonts w:ascii="Arial" w:hAnsi="Arial" w:cs="Arial"/>
          <w:sz w:val="20"/>
          <w:szCs w:val="20"/>
        </w:rPr>
        <w:t>the Company</w:t>
      </w:r>
      <w:r>
        <w:rPr>
          <w:rFonts w:ascii="Arial" w:hAnsi="Arial" w:cs="Arial"/>
          <w:sz w:val="20"/>
          <w:szCs w:val="20"/>
        </w:rPr>
        <w:t xml:space="preserve"> is not expected to report an operating profit at the year-end given revenue stream forecasts.</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 xml:space="preserve">In the current financial year our focus is firmly on rescuing the </w:t>
      </w:r>
      <w:r>
        <w:rPr>
          <w:rFonts w:ascii="Arial" w:hAnsi="Arial" w:cs="Arial"/>
          <w:sz w:val="20"/>
          <w:szCs w:val="20"/>
        </w:rPr>
        <w:t>C</w:t>
      </w:r>
      <w:r w:rsidRPr="00530CF2">
        <w:rPr>
          <w:rFonts w:ascii="Arial" w:hAnsi="Arial" w:cs="Arial"/>
          <w:sz w:val="20"/>
          <w:szCs w:val="20"/>
        </w:rPr>
        <w:t>lub and starting the rebuilding process in earnest. We have renegotiated all major contracts and are pleased to have recently established new partnerships with Sports Direct</w:t>
      </w:r>
      <w:r>
        <w:rPr>
          <w:rFonts w:ascii="Arial" w:hAnsi="Arial" w:cs="Arial"/>
          <w:sz w:val="20"/>
          <w:szCs w:val="20"/>
        </w:rPr>
        <w:t>, Puma and</w:t>
      </w:r>
      <w:r w:rsidRPr="00530CF2">
        <w:rPr>
          <w:rFonts w:ascii="Arial" w:hAnsi="Arial" w:cs="Arial"/>
          <w:sz w:val="20"/>
          <w:szCs w:val="20"/>
        </w:rPr>
        <w:t xml:space="preserve"> </w:t>
      </w:r>
      <w:r>
        <w:rPr>
          <w:rFonts w:ascii="Arial" w:hAnsi="Arial" w:cs="Arial"/>
          <w:sz w:val="20"/>
          <w:szCs w:val="20"/>
        </w:rPr>
        <w:t>Blackthorn Cider</w:t>
      </w:r>
      <w:r w:rsidRPr="00530CF2">
        <w:rPr>
          <w:rFonts w:ascii="Arial" w:hAnsi="Arial" w:cs="Arial"/>
          <w:sz w:val="20"/>
          <w:szCs w:val="20"/>
        </w:rPr>
        <w:t xml:space="preserve">. We are particularly pleased with the relationship with Sports Direct, the </w:t>
      </w:r>
      <w:smartTag w:uri="urn:schemas-microsoft-com:office:smarttags" w:element="country-region">
        <w:smartTag w:uri="urn:schemas-microsoft-com:office:smarttags" w:element="place">
          <w:r w:rsidRPr="00530CF2">
            <w:rPr>
              <w:rFonts w:ascii="Arial" w:hAnsi="Arial" w:cs="Arial"/>
              <w:sz w:val="20"/>
              <w:szCs w:val="20"/>
            </w:rPr>
            <w:t>UK</w:t>
          </w:r>
        </w:smartTag>
      </w:smartTag>
      <w:r w:rsidRPr="00530CF2">
        <w:rPr>
          <w:rFonts w:ascii="Arial" w:hAnsi="Arial" w:cs="Arial"/>
          <w:sz w:val="20"/>
          <w:szCs w:val="20"/>
        </w:rPr>
        <w:t xml:space="preserve">’s largest sports retailer. The SportsDirect.com retail group currently has over 470 stores including SportsDirect.com, Field and Trek, Hargreaves Sports, Gilesports and Donnay International. In addition, the Club appointed a new kit manufacturer, Puma, one of the world’s leading sport-lifestyle companies. Going forward, we will spare no effort in enhancing existing revenue streams and identifying new opportunities that ultimately benefit the Club and its future. </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We were delighted to have listed on AIM</w:t>
      </w:r>
      <w:r>
        <w:rPr>
          <w:rFonts w:ascii="Arial" w:hAnsi="Arial" w:cs="Arial"/>
          <w:sz w:val="20"/>
          <w:szCs w:val="20"/>
        </w:rPr>
        <w:t xml:space="preserve">, a market operated by </w:t>
      </w:r>
      <w:r w:rsidRPr="00530CF2">
        <w:rPr>
          <w:rFonts w:ascii="Arial" w:hAnsi="Arial" w:cs="Arial"/>
          <w:sz w:val="20"/>
          <w:szCs w:val="20"/>
        </w:rPr>
        <w:t>the London Stock Exchange in December 2012; it represents a key milestone in our plans for bringing Rangers back to its glory days. A total of £2</w:t>
      </w:r>
      <w:r>
        <w:rPr>
          <w:rFonts w:ascii="Arial" w:hAnsi="Arial" w:cs="Arial"/>
          <w:sz w:val="20"/>
          <w:szCs w:val="20"/>
        </w:rPr>
        <w:t>2.2m</w:t>
      </w:r>
      <w:r w:rsidRPr="00530CF2">
        <w:rPr>
          <w:rFonts w:ascii="Arial" w:hAnsi="Arial" w:cs="Arial"/>
          <w:sz w:val="20"/>
          <w:szCs w:val="20"/>
        </w:rPr>
        <w:t xml:space="preserve">, </w:t>
      </w:r>
      <w:r>
        <w:rPr>
          <w:rFonts w:ascii="Arial" w:hAnsi="Arial" w:cs="Arial"/>
          <w:sz w:val="20"/>
          <w:szCs w:val="20"/>
        </w:rPr>
        <w:t>before</w:t>
      </w:r>
      <w:r w:rsidRPr="00530CF2">
        <w:rPr>
          <w:rFonts w:ascii="Arial" w:hAnsi="Arial" w:cs="Arial"/>
          <w:sz w:val="20"/>
          <w:szCs w:val="20"/>
        </w:rPr>
        <w:t xml:space="preserve"> expenses, was raised</w:t>
      </w:r>
      <w:r w:rsidRPr="00530CF2">
        <w:rPr>
          <w:rFonts w:ascii="Arial" w:hAnsi="Arial" w:cs="Arial"/>
          <w:sz w:val="20"/>
          <w:szCs w:val="20"/>
          <w:lang w:val="en-GB"/>
        </w:rPr>
        <w:t xml:space="preserve"> to strengthen the player squad, improve and develop the Club’s properties and facilities, as well as provide additional working capital. </w:t>
      </w:r>
      <w:r w:rsidRPr="00530CF2">
        <w:rPr>
          <w:rFonts w:ascii="Arial" w:hAnsi="Arial" w:cs="Arial"/>
          <w:sz w:val="20"/>
          <w:szCs w:val="20"/>
        </w:rPr>
        <w:t xml:space="preserve">This flotation was achieved in a challenging economic climate and is great testament to the faith shown in Rangers by institutional and individual investors as well as supporters of the Club. Few football clubs today can take comfort from having </w:t>
      </w:r>
      <w:r>
        <w:rPr>
          <w:rFonts w:ascii="Arial" w:hAnsi="Arial" w:cs="Arial"/>
          <w:sz w:val="20"/>
          <w:szCs w:val="20"/>
        </w:rPr>
        <w:t xml:space="preserve">positive </w:t>
      </w:r>
      <w:r w:rsidRPr="00530CF2">
        <w:rPr>
          <w:rFonts w:ascii="Arial" w:hAnsi="Arial" w:cs="Arial"/>
          <w:sz w:val="20"/>
          <w:szCs w:val="20"/>
        </w:rPr>
        <w:t>cash balances, which will be spent wisely in the future.</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All of us involved in the management of the Club are particularly delighted and are indeed in awe of the contribution supporters have made to the Club. Season ticket sales for 2012/13 stand in excess of 38,000 - representing an improvement on the previous season. It is also among the highest levels of season ticket sales achieved by any UK club. The response from supporters to the Initial Public Offering was also remarkable raising £4.5</w:t>
      </w:r>
      <w:r>
        <w:rPr>
          <w:rFonts w:ascii="Arial" w:hAnsi="Arial" w:cs="Arial"/>
          <w:sz w:val="20"/>
          <w:szCs w:val="20"/>
        </w:rPr>
        <w:t>m</w:t>
      </w:r>
      <w:r w:rsidRPr="00530CF2">
        <w:rPr>
          <w:rFonts w:ascii="Arial" w:hAnsi="Arial" w:cs="Arial"/>
          <w:sz w:val="20"/>
          <w:szCs w:val="20"/>
        </w:rPr>
        <w:t xml:space="preserve"> in the weeks preceding Christmas and </w:t>
      </w:r>
      <w:r>
        <w:rPr>
          <w:rFonts w:ascii="Arial" w:hAnsi="Arial" w:cs="Arial"/>
          <w:sz w:val="20"/>
          <w:szCs w:val="20"/>
        </w:rPr>
        <w:t>we</w:t>
      </w:r>
      <w:r w:rsidRPr="00530CF2">
        <w:rPr>
          <w:rFonts w:ascii="Arial" w:hAnsi="Arial" w:cs="Arial"/>
          <w:sz w:val="20"/>
          <w:szCs w:val="20"/>
        </w:rPr>
        <w:t xml:space="preserve"> could </w:t>
      </w:r>
      <w:r>
        <w:rPr>
          <w:rFonts w:ascii="Arial" w:hAnsi="Arial" w:cs="Arial"/>
          <w:sz w:val="20"/>
          <w:szCs w:val="20"/>
        </w:rPr>
        <w:t xml:space="preserve">not </w:t>
      </w:r>
      <w:r w:rsidRPr="00530CF2">
        <w:rPr>
          <w:rFonts w:ascii="Arial" w:hAnsi="Arial" w:cs="Arial"/>
          <w:sz w:val="20"/>
          <w:szCs w:val="20"/>
        </w:rPr>
        <w:t>have asked more from</w:t>
      </w:r>
      <w:r>
        <w:rPr>
          <w:rFonts w:ascii="Arial" w:hAnsi="Arial" w:cs="Arial"/>
          <w:sz w:val="20"/>
          <w:szCs w:val="20"/>
        </w:rPr>
        <w:t xml:space="preserve"> our</w:t>
      </w:r>
      <w:r w:rsidRPr="00530CF2">
        <w:rPr>
          <w:rFonts w:ascii="Arial" w:hAnsi="Arial" w:cs="Arial"/>
          <w:sz w:val="20"/>
          <w:szCs w:val="20"/>
        </w:rPr>
        <w:t xml:space="preserve"> supporters in terms of attendance at matches. We have enjoyed near capacity crowds at Ibrox for key fixtures and an average home attendance of 45,363 for SFL fixtures. I would like to take this opportunity to thank the fans for their tremendous and on-going support. </w:t>
      </w:r>
    </w:p>
    <w:p w:rsidR="00B44B33" w:rsidRPr="00530CF2" w:rsidRDefault="00B44B33" w:rsidP="00530CF2">
      <w:pPr>
        <w:jc w:val="both"/>
        <w:rPr>
          <w:rFonts w:ascii="Arial" w:hAnsi="Arial" w:cs="Arial"/>
          <w:sz w:val="20"/>
          <w:szCs w:val="20"/>
        </w:rPr>
      </w:pPr>
    </w:p>
    <w:p w:rsidR="00B44B33" w:rsidRDefault="00B44B33" w:rsidP="00530CF2">
      <w:pPr>
        <w:jc w:val="both"/>
        <w:rPr>
          <w:rFonts w:ascii="Arial" w:hAnsi="Arial" w:cs="Arial"/>
          <w:sz w:val="20"/>
          <w:szCs w:val="20"/>
        </w:rPr>
      </w:pPr>
      <w:r w:rsidRPr="00530CF2">
        <w:rPr>
          <w:rFonts w:ascii="Arial" w:hAnsi="Arial" w:cs="Arial"/>
          <w:sz w:val="20"/>
          <w:szCs w:val="20"/>
        </w:rPr>
        <w:t xml:space="preserve">In the last several months, those of us new to the Club have learned very quickly how much Rangers means to its phenomenal fan base but also to football in general. The manager, Ally McCoist, his staff and players have had to adapt to extraordinary circumstances and they have all our support and best wishes to hopefully securing the SFL </w:t>
      </w:r>
      <w:r>
        <w:rPr>
          <w:rFonts w:ascii="Arial" w:hAnsi="Arial" w:cs="Arial"/>
          <w:sz w:val="20"/>
          <w:szCs w:val="20"/>
        </w:rPr>
        <w:t>Division 3</w:t>
      </w:r>
      <w:r w:rsidRPr="00530CF2">
        <w:rPr>
          <w:rFonts w:ascii="Arial" w:hAnsi="Arial" w:cs="Arial"/>
          <w:sz w:val="20"/>
          <w:szCs w:val="20"/>
        </w:rPr>
        <w:t xml:space="preserve"> </w:t>
      </w:r>
      <w:r>
        <w:rPr>
          <w:rFonts w:ascii="Arial" w:hAnsi="Arial" w:cs="Arial"/>
          <w:sz w:val="20"/>
          <w:szCs w:val="20"/>
        </w:rPr>
        <w:t xml:space="preserve">title </w:t>
      </w:r>
      <w:r w:rsidRPr="00530CF2">
        <w:rPr>
          <w:rFonts w:ascii="Arial" w:hAnsi="Arial" w:cs="Arial"/>
          <w:sz w:val="20"/>
          <w:szCs w:val="20"/>
        </w:rPr>
        <w:t xml:space="preserve">as the first step in returning to participation at the highest level in both domestic and European football. </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 xml:space="preserve">Undoubtedly, challenges lie ahead for Rangers but the Club is now well equipped to meet them successfully. Above all, the Club and its supporters are resolute in the belief that, both on and off the pitch, Rangers can look to the future with confidence and pride.  </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p>
    <w:p w:rsidR="00B44B33" w:rsidRDefault="00B44B33" w:rsidP="00530CF2">
      <w:pPr>
        <w:jc w:val="both"/>
        <w:rPr>
          <w:rFonts w:ascii="Arial" w:hAnsi="Arial" w:cs="Arial"/>
          <w:b/>
          <w:i/>
          <w:sz w:val="20"/>
          <w:szCs w:val="20"/>
        </w:rPr>
      </w:pPr>
      <w:r w:rsidRPr="00530CF2">
        <w:rPr>
          <w:rFonts w:ascii="Arial" w:hAnsi="Arial" w:cs="Arial"/>
          <w:b/>
          <w:i/>
          <w:sz w:val="20"/>
          <w:szCs w:val="20"/>
        </w:rPr>
        <w:t xml:space="preserve">Charles Green </w:t>
      </w:r>
    </w:p>
    <w:p w:rsidR="00B44B33" w:rsidRPr="00530CF2" w:rsidRDefault="00B44B33" w:rsidP="00530CF2">
      <w:pPr>
        <w:jc w:val="both"/>
        <w:rPr>
          <w:rFonts w:ascii="Arial" w:hAnsi="Arial" w:cs="Arial"/>
          <w:i/>
          <w:sz w:val="20"/>
          <w:szCs w:val="20"/>
        </w:rPr>
      </w:pPr>
      <w:r w:rsidRPr="00530CF2">
        <w:rPr>
          <w:rFonts w:ascii="Arial" w:hAnsi="Arial" w:cs="Arial"/>
          <w:i/>
          <w:sz w:val="20"/>
          <w:szCs w:val="20"/>
        </w:rPr>
        <w:t>Chief Executive</w:t>
      </w:r>
    </w:p>
    <w:p w:rsidR="00B44B33" w:rsidRPr="00530CF2" w:rsidRDefault="00B44B33" w:rsidP="00530CF2">
      <w:pPr>
        <w:jc w:val="both"/>
        <w:rPr>
          <w:rFonts w:ascii="Arial" w:hAnsi="Arial" w:cs="Arial"/>
          <w:i/>
          <w:sz w:val="20"/>
          <w:szCs w:val="20"/>
        </w:rPr>
      </w:pPr>
      <w:r>
        <w:rPr>
          <w:rFonts w:ascii="Arial" w:hAnsi="Arial" w:cs="Arial"/>
          <w:i/>
          <w:sz w:val="20"/>
          <w:szCs w:val="20"/>
        </w:rPr>
        <w:t>4 March 2013</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b/>
        </w:rPr>
      </w:pPr>
      <w:r w:rsidRPr="00530CF2">
        <w:rPr>
          <w:rFonts w:ascii="Arial" w:hAnsi="Arial" w:cs="Arial"/>
          <w:b/>
          <w:sz w:val="20"/>
          <w:szCs w:val="20"/>
        </w:rPr>
        <w:br w:type="page"/>
      </w:r>
      <w:r w:rsidRPr="00530CF2">
        <w:rPr>
          <w:rFonts w:ascii="Arial" w:hAnsi="Arial" w:cs="Arial"/>
          <w:b/>
        </w:rPr>
        <w:t>Financial Review</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 xml:space="preserve">It was clear from Rangers’ league status this season there would be a resultant impact on turnover at the Club. It was essential, therefore, that costs were substantially reduced and this was achieved. </w:t>
      </w:r>
      <w:r>
        <w:rPr>
          <w:rFonts w:ascii="Arial" w:hAnsi="Arial" w:cs="Arial"/>
          <w:sz w:val="20"/>
          <w:szCs w:val="20"/>
        </w:rPr>
        <w:t>Operational costs have been reduced to £15.7m for the reporting period, compared with approximate previous costs of similar periods of £22m</w:t>
      </w:r>
      <w:r w:rsidRPr="00AE07D8">
        <w:rPr>
          <w:rFonts w:ascii="Arial" w:hAnsi="Arial" w:cs="Arial"/>
          <w:sz w:val="20"/>
          <w:szCs w:val="20"/>
        </w:rPr>
        <w:t xml:space="preserve"> in </w:t>
      </w:r>
      <w:r>
        <w:rPr>
          <w:rFonts w:ascii="Arial" w:hAnsi="Arial" w:cs="Arial"/>
          <w:sz w:val="20"/>
          <w:szCs w:val="20"/>
        </w:rPr>
        <w:t>the then</w:t>
      </w:r>
      <w:r w:rsidRPr="00AE07D8">
        <w:rPr>
          <w:rFonts w:ascii="Arial" w:hAnsi="Arial" w:cs="Arial"/>
          <w:sz w:val="20"/>
          <w:szCs w:val="20"/>
        </w:rPr>
        <w:t xml:space="preserve"> Rangers Football Club plc (now </w:t>
      </w:r>
      <w:r>
        <w:rPr>
          <w:rFonts w:ascii="Arial" w:hAnsi="Arial" w:cs="Arial"/>
          <w:sz w:val="20"/>
          <w:szCs w:val="20"/>
        </w:rPr>
        <w:t xml:space="preserve">in </w:t>
      </w:r>
      <w:r w:rsidRPr="00AE07D8">
        <w:rPr>
          <w:rFonts w:ascii="Arial" w:hAnsi="Arial" w:cs="Arial"/>
          <w:sz w:val="20"/>
          <w:szCs w:val="20"/>
        </w:rPr>
        <w:t>liquidat</w:t>
      </w:r>
      <w:r>
        <w:rPr>
          <w:rFonts w:ascii="Arial" w:hAnsi="Arial" w:cs="Arial"/>
          <w:sz w:val="20"/>
          <w:szCs w:val="20"/>
        </w:rPr>
        <w:t>ion</w:t>
      </w:r>
      <w:r w:rsidRPr="00AE07D8">
        <w:rPr>
          <w:rFonts w:ascii="Arial" w:hAnsi="Arial" w:cs="Arial"/>
          <w:sz w:val="20"/>
          <w:szCs w:val="20"/>
        </w:rPr>
        <w:t>)</w:t>
      </w:r>
      <w:r>
        <w:rPr>
          <w:rFonts w:ascii="Arial" w:hAnsi="Arial" w:cs="Arial"/>
          <w:sz w:val="20"/>
          <w:szCs w:val="20"/>
        </w:rPr>
        <w:t>.</w:t>
      </w:r>
      <w:r w:rsidRPr="00530CF2">
        <w:rPr>
          <w:rFonts w:ascii="Arial" w:hAnsi="Arial" w:cs="Arial"/>
          <w:sz w:val="20"/>
          <w:szCs w:val="20"/>
        </w:rPr>
        <w:t xml:space="preserve"> Reductions in costs have been </w:t>
      </w:r>
      <w:r>
        <w:rPr>
          <w:rFonts w:ascii="Arial" w:hAnsi="Arial" w:cs="Arial"/>
          <w:sz w:val="20"/>
          <w:szCs w:val="20"/>
        </w:rPr>
        <w:t>largely</w:t>
      </w:r>
      <w:r w:rsidRPr="00530CF2">
        <w:rPr>
          <w:rFonts w:ascii="Arial" w:hAnsi="Arial" w:cs="Arial"/>
          <w:sz w:val="20"/>
          <w:szCs w:val="20"/>
        </w:rPr>
        <w:t xml:space="preserve"> achieved through the review of commercial contracts and a reduction in player payroll costs. Overall operational costs are expected to continue to decline as further cost saving initiatives and efficiencies take effect.  Work continues on further enhancements to the quality and sustainability of revenue streams.  </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Overall, we have achieved these operational changes whilst retaining the fabric and structure of the Club which is necessary given the scale of our operations. I am glad to report that</w:t>
      </w:r>
      <w:r>
        <w:rPr>
          <w:rFonts w:ascii="Arial" w:hAnsi="Arial" w:cs="Arial"/>
          <w:sz w:val="20"/>
          <w:szCs w:val="20"/>
        </w:rPr>
        <w:t>,</w:t>
      </w:r>
      <w:r w:rsidRPr="00530CF2">
        <w:rPr>
          <w:rFonts w:ascii="Arial" w:hAnsi="Arial" w:cs="Arial"/>
          <w:sz w:val="20"/>
          <w:szCs w:val="20"/>
        </w:rPr>
        <w:t xml:space="preserve"> as of the date of this announcement, only £251,000 remains to be paid in relation to the £2.8m of football debts we undertook to pay in the </w:t>
      </w:r>
      <w:r>
        <w:rPr>
          <w:rFonts w:ascii="Arial" w:hAnsi="Arial" w:cs="Arial"/>
          <w:sz w:val="20"/>
          <w:szCs w:val="20"/>
        </w:rPr>
        <w:t>SFA licensing</w:t>
      </w:r>
      <w:r w:rsidRPr="00530CF2">
        <w:rPr>
          <w:rFonts w:ascii="Arial" w:hAnsi="Arial" w:cs="Arial"/>
          <w:sz w:val="20"/>
          <w:szCs w:val="20"/>
        </w:rPr>
        <w:t xml:space="preserve"> agreement</w:t>
      </w:r>
      <w:r>
        <w:rPr>
          <w:rFonts w:ascii="Arial" w:hAnsi="Arial" w:cs="Arial"/>
          <w:sz w:val="20"/>
          <w:szCs w:val="20"/>
        </w:rPr>
        <w:t>,</w:t>
      </w:r>
      <w:r w:rsidRPr="00530CF2">
        <w:rPr>
          <w:rFonts w:ascii="Arial" w:hAnsi="Arial" w:cs="Arial"/>
          <w:sz w:val="20"/>
          <w:szCs w:val="20"/>
        </w:rPr>
        <w:t xml:space="preserve"> and these amounts are not due to be paid until October 2013. The Company has reported a profit of £9.5m which should be viewed in the context of</w:t>
      </w:r>
      <w:r w:rsidRPr="00AE07D8">
        <w:rPr>
          <w:rFonts w:ascii="Arial" w:hAnsi="Arial" w:cs="Arial"/>
          <w:sz w:val="20"/>
          <w:szCs w:val="20"/>
          <w:lang w:val="en-GB"/>
        </w:rPr>
        <w:t xml:space="preserve"> recognising</w:t>
      </w:r>
      <w:r>
        <w:rPr>
          <w:rFonts w:ascii="Arial" w:hAnsi="Arial" w:cs="Arial"/>
          <w:sz w:val="20"/>
          <w:szCs w:val="20"/>
        </w:rPr>
        <w:t xml:space="preserve"> a negative goodwill credit of </w:t>
      </w:r>
      <w:r w:rsidRPr="00530CF2">
        <w:rPr>
          <w:rFonts w:ascii="Arial" w:hAnsi="Arial" w:cs="Arial"/>
          <w:sz w:val="20"/>
          <w:szCs w:val="20"/>
        </w:rPr>
        <w:t>£20.</w:t>
      </w:r>
      <w:r>
        <w:rPr>
          <w:rFonts w:ascii="Arial" w:hAnsi="Arial" w:cs="Arial"/>
          <w:sz w:val="20"/>
          <w:szCs w:val="20"/>
        </w:rPr>
        <w:t>5m</w:t>
      </w:r>
      <w:r w:rsidRPr="00530CF2">
        <w:rPr>
          <w:rFonts w:ascii="Arial" w:hAnsi="Arial" w:cs="Arial"/>
          <w:sz w:val="20"/>
          <w:szCs w:val="20"/>
        </w:rPr>
        <w:t xml:space="preserve">. The Company is expected to report </w:t>
      </w:r>
      <w:r>
        <w:rPr>
          <w:rFonts w:ascii="Arial" w:hAnsi="Arial" w:cs="Arial"/>
          <w:sz w:val="20"/>
          <w:szCs w:val="20"/>
        </w:rPr>
        <w:t>an operating</w:t>
      </w:r>
      <w:r w:rsidRPr="00530CF2">
        <w:rPr>
          <w:rFonts w:ascii="Arial" w:hAnsi="Arial" w:cs="Arial"/>
          <w:sz w:val="20"/>
          <w:szCs w:val="20"/>
        </w:rPr>
        <w:t xml:space="preserve"> loss at year end in accordance with the business plan and broader growth strategy.</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A revaluation process was undertaken during the period; Ibrox stadium and Murray Park were revalued at £40m, and intangibles were valued at £19m</w:t>
      </w:r>
      <w:r>
        <w:rPr>
          <w:rFonts w:ascii="Arial" w:hAnsi="Arial" w:cs="Arial"/>
          <w:sz w:val="20"/>
          <w:szCs w:val="20"/>
        </w:rPr>
        <w:t xml:space="preserve"> on acquisition</w:t>
      </w:r>
      <w:r w:rsidRPr="00530CF2">
        <w:rPr>
          <w:rFonts w:ascii="Arial" w:hAnsi="Arial" w:cs="Arial"/>
          <w:sz w:val="20"/>
          <w:szCs w:val="20"/>
        </w:rPr>
        <w:t>.</w:t>
      </w:r>
    </w:p>
    <w:p w:rsidR="00B44B33" w:rsidRPr="00530CF2" w:rsidRDefault="00B44B33" w:rsidP="00530CF2">
      <w:pPr>
        <w:jc w:val="both"/>
        <w:rPr>
          <w:rFonts w:ascii="Arial" w:hAnsi="Arial" w:cs="Arial"/>
          <w:sz w:val="20"/>
          <w:szCs w:val="20"/>
        </w:rPr>
      </w:pPr>
    </w:p>
    <w:p w:rsidR="00B44B33" w:rsidRDefault="00B44B33" w:rsidP="00530CF2">
      <w:pPr>
        <w:jc w:val="both"/>
        <w:rPr>
          <w:rFonts w:ascii="Arial" w:hAnsi="Arial" w:cs="Arial"/>
          <w:sz w:val="20"/>
          <w:szCs w:val="20"/>
        </w:rPr>
      </w:pPr>
      <w:r>
        <w:rPr>
          <w:rFonts w:ascii="Arial" w:hAnsi="Arial" w:cs="Arial"/>
          <w:sz w:val="20"/>
          <w:szCs w:val="20"/>
        </w:rPr>
        <w:t>Revenue from retail sales in the seven month period was disappointing, mainly due to the financial position of JJB Sports and a lack of stock. New retail and manufacturing arrangements are now in place with Sports Direct, Puma and Blackthorn Cider which will generate enhanced retail revenues. However, the impact of this is likely to be felt in the next financial year, ending 30 June 2014, due to slippages in delivery times. It is likely that the first shipment of shirts will occur after the current year end which will have a negative impact on sales for the year ending 30 June 2013. However, in the next year retail sales will be improved as two major kit launches will occur in the same year. We are particularly pleased that match day revenues have exceeded expectations.</w:t>
      </w:r>
    </w:p>
    <w:p w:rsidR="00B44B33"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Pr>
          <w:rFonts w:ascii="Arial" w:hAnsi="Arial" w:cs="Arial"/>
          <w:sz w:val="20"/>
          <w:szCs w:val="20"/>
        </w:rPr>
        <w:t xml:space="preserve">The Club continues to progress with legal action against players of the Rangers Football Club plc who objected to the transfer of their contracts to Rangers Football Club Ltd. Further details of this action will be communicated in due course. </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We have embarked on a programme of infrastructure improvements at Ibrox. Initial investment has been made in groundskeeping equipment and expenditure on LEDs and stadium jumbotrons is underway. The Club has also acquired the Albion car park and Edmiston House which will be redeveloped to improve the match day experience for supporters and both these acquisitions are expected to produce near term returns on investment through future revenues.</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The raising of £2</w:t>
      </w:r>
      <w:r>
        <w:rPr>
          <w:rFonts w:ascii="Arial" w:hAnsi="Arial" w:cs="Arial"/>
          <w:sz w:val="20"/>
          <w:szCs w:val="20"/>
        </w:rPr>
        <w:t>2.2m</w:t>
      </w:r>
      <w:r w:rsidRPr="00530CF2">
        <w:rPr>
          <w:rFonts w:ascii="Arial" w:hAnsi="Arial" w:cs="Arial"/>
          <w:sz w:val="20"/>
          <w:szCs w:val="20"/>
        </w:rPr>
        <w:t xml:space="preserve"> capital is an excellent outcome from the flotation of the Company on AIM and the funds, along with the £1</w:t>
      </w:r>
      <w:r>
        <w:rPr>
          <w:rFonts w:ascii="Arial" w:hAnsi="Arial" w:cs="Arial"/>
          <w:sz w:val="20"/>
          <w:szCs w:val="20"/>
        </w:rPr>
        <w:t>3</w:t>
      </w:r>
      <w:r w:rsidRPr="00530CF2">
        <w:rPr>
          <w:rFonts w:ascii="Arial" w:hAnsi="Arial" w:cs="Arial"/>
          <w:sz w:val="20"/>
          <w:szCs w:val="20"/>
        </w:rPr>
        <w:t>m of other share capital provide the Club with a sound financial footing going forward. It is essential, however, that the Club does not over-extend itself in future as such an approach is unsustainable, regardless of the playing environment.</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r w:rsidRPr="00530CF2">
        <w:rPr>
          <w:rFonts w:ascii="Arial" w:hAnsi="Arial" w:cs="Arial"/>
          <w:sz w:val="20"/>
          <w:szCs w:val="20"/>
        </w:rPr>
        <w:t xml:space="preserve">The priority for the Company to date has been to stabilise the business and put in place solid financial foundations for the future. This work will continue and investors and supporters can have confidence in the development of operations as the Club progresses with its core business of playing football. </w:t>
      </w:r>
    </w:p>
    <w:p w:rsidR="00B44B33" w:rsidRPr="00530CF2" w:rsidRDefault="00B44B33" w:rsidP="00530CF2">
      <w:pPr>
        <w:jc w:val="both"/>
        <w:rPr>
          <w:rFonts w:ascii="Arial" w:hAnsi="Arial" w:cs="Arial"/>
          <w:sz w:val="20"/>
          <w:szCs w:val="20"/>
        </w:rPr>
      </w:pPr>
    </w:p>
    <w:p w:rsidR="00B44B33" w:rsidRDefault="00B44B33" w:rsidP="00530CF2">
      <w:pPr>
        <w:jc w:val="both"/>
        <w:rPr>
          <w:rFonts w:ascii="Arial" w:hAnsi="Arial" w:cs="Arial"/>
          <w:sz w:val="20"/>
          <w:szCs w:val="20"/>
        </w:rPr>
      </w:pPr>
    </w:p>
    <w:p w:rsidR="00B44B33"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p>
    <w:p w:rsidR="00B44B33" w:rsidRDefault="00B44B33" w:rsidP="00530CF2">
      <w:pPr>
        <w:jc w:val="both"/>
        <w:rPr>
          <w:rFonts w:ascii="Arial" w:hAnsi="Arial" w:cs="Arial"/>
          <w:b/>
          <w:i/>
          <w:sz w:val="20"/>
          <w:szCs w:val="20"/>
        </w:rPr>
      </w:pPr>
      <w:r>
        <w:rPr>
          <w:rFonts w:ascii="Arial" w:hAnsi="Arial" w:cs="Arial"/>
          <w:b/>
          <w:i/>
          <w:sz w:val="20"/>
          <w:szCs w:val="20"/>
        </w:rPr>
        <w:t>Brian Stockbridge</w:t>
      </w:r>
      <w:r w:rsidRPr="00530CF2">
        <w:rPr>
          <w:rFonts w:ascii="Arial" w:hAnsi="Arial" w:cs="Arial"/>
          <w:b/>
          <w:i/>
          <w:sz w:val="20"/>
          <w:szCs w:val="20"/>
        </w:rPr>
        <w:t xml:space="preserve"> </w:t>
      </w:r>
    </w:p>
    <w:p w:rsidR="00B44B33" w:rsidRPr="00530CF2" w:rsidRDefault="00B44B33" w:rsidP="00530CF2">
      <w:pPr>
        <w:jc w:val="both"/>
        <w:rPr>
          <w:rFonts w:ascii="Arial" w:hAnsi="Arial" w:cs="Arial"/>
          <w:i/>
          <w:sz w:val="20"/>
          <w:szCs w:val="20"/>
        </w:rPr>
      </w:pPr>
      <w:r w:rsidRPr="00530CF2">
        <w:rPr>
          <w:rFonts w:ascii="Arial" w:hAnsi="Arial" w:cs="Arial"/>
          <w:i/>
          <w:sz w:val="20"/>
          <w:szCs w:val="20"/>
        </w:rPr>
        <w:t>Finance Director</w:t>
      </w:r>
    </w:p>
    <w:p w:rsidR="00B44B33" w:rsidRPr="00530CF2" w:rsidRDefault="00B44B33" w:rsidP="00530CF2">
      <w:pPr>
        <w:jc w:val="both"/>
        <w:rPr>
          <w:rFonts w:ascii="Arial" w:hAnsi="Arial" w:cs="Arial"/>
          <w:i/>
          <w:sz w:val="20"/>
          <w:szCs w:val="20"/>
        </w:rPr>
      </w:pPr>
      <w:r>
        <w:rPr>
          <w:rFonts w:ascii="Arial" w:hAnsi="Arial" w:cs="Arial"/>
          <w:i/>
          <w:sz w:val="20"/>
          <w:szCs w:val="20"/>
        </w:rPr>
        <w:t>4 March 2013</w:t>
      </w: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p>
    <w:p w:rsidR="00B44B33" w:rsidRPr="00530CF2" w:rsidRDefault="00B44B33" w:rsidP="00530CF2">
      <w:pPr>
        <w:jc w:val="both"/>
        <w:rPr>
          <w:rFonts w:ascii="Arial" w:hAnsi="Arial" w:cs="Arial"/>
          <w:sz w:val="20"/>
          <w:szCs w:val="20"/>
        </w:rPr>
      </w:pPr>
    </w:p>
    <w:p w:rsidR="00B44B33" w:rsidRPr="00E058F5" w:rsidRDefault="00B44B33" w:rsidP="00E058F5">
      <w:pPr>
        <w:jc w:val="both"/>
        <w:rPr>
          <w:rFonts w:ascii="Arial" w:hAnsi="Arial" w:cs="Arial"/>
          <w:b/>
          <w:sz w:val="20"/>
          <w:szCs w:val="20"/>
        </w:rPr>
      </w:pPr>
      <w:r w:rsidRPr="00E058F5">
        <w:rPr>
          <w:rFonts w:ascii="Arial" w:hAnsi="Arial" w:cs="Arial"/>
          <w:b/>
          <w:sz w:val="20"/>
          <w:szCs w:val="20"/>
        </w:rPr>
        <w:t>INDEPENDENT REVIEW REPORT TO RANGERS INTERNATIONAL FOOTBALL CLUB PLC</w:t>
      </w:r>
    </w:p>
    <w:p w:rsidR="00B44B33" w:rsidRPr="00E058F5" w:rsidRDefault="00B44B33" w:rsidP="00E058F5">
      <w:pPr>
        <w:jc w:val="both"/>
        <w:rPr>
          <w:rFonts w:ascii="Arial" w:hAnsi="Arial" w:cs="Arial"/>
          <w:sz w:val="20"/>
          <w:szCs w:val="20"/>
        </w:rPr>
      </w:pPr>
    </w:p>
    <w:p w:rsidR="00B44B33" w:rsidRPr="006126F5" w:rsidRDefault="00B44B33" w:rsidP="00E058F5">
      <w:pPr>
        <w:jc w:val="both"/>
        <w:rPr>
          <w:rFonts w:ascii="Arial" w:hAnsi="Arial" w:cs="Arial"/>
          <w:sz w:val="20"/>
          <w:szCs w:val="20"/>
        </w:rPr>
      </w:pPr>
      <w:r w:rsidRPr="00E058F5">
        <w:rPr>
          <w:rFonts w:ascii="Arial" w:hAnsi="Arial" w:cs="Arial"/>
          <w:sz w:val="20"/>
          <w:szCs w:val="20"/>
        </w:rPr>
        <w:t xml:space="preserve">We have been engaged by the Company to review the condensed set of financial statements in the </w:t>
      </w:r>
      <w:r>
        <w:rPr>
          <w:rFonts w:ascii="Arial" w:hAnsi="Arial" w:cs="Arial"/>
          <w:sz w:val="20"/>
          <w:szCs w:val="20"/>
        </w:rPr>
        <w:t>half-yearly</w:t>
      </w:r>
      <w:r w:rsidRPr="00E058F5">
        <w:rPr>
          <w:rFonts w:ascii="Arial" w:hAnsi="Arial" w:cs="Arial"/>
          <w:sz w:val="20"/>
          <w:szCs w:val="20"/>
        </w:rPr>
        <w:t xml:space="preserve"> financial report for the seven months ended 31 December 2012 which comprises the condensed consolidated income statement, the condensed consolidated statement of comprehensive income, the condensed consolidated balance sheet, the condensed consolidated statement of changes in equity, the consolidated </w:t>
      </w:r>
      <w:r w:rsidRPr="006126F5">
        <w:rPr>
          <w:rFonts w:ascii="Arial" w:hAnsi="Arial" w:cs="Arial"/>
          <w:sz w:val="20"/>
          <w:szCs w:val="20"/>
        </w:rPr>
        <w:t>statement of cash flows and related notes 1 to 1</w:t>
      </w:r>
      <w:r>
        <w:rPr>
          <w:rFonts w:ascii="Arial" w:hAnsi="Arial" w:cs="Arial"/>
          <w:sz w:val="20"/>
          <w:szCs w:val="20"/>
        </w:rPr>
        <w:t>7</w:t>
      </w:r>
      <w:r w:rsidRPr="006126F5">
        <w:rPr>
          <w:rFonts w:ascii="Arial" w:hAnsi="Arial" w:cs="Arial"/>
          <w:sz w:val="20"/>
          <w:szCs w:val="20"/>
        </w:rPr>
        <w:t xml:space="preserve">. We have read the other information contained in the </w:t>
      </w:r>
      <w:r>
        <w:rPr>
          <w:rFonts w:ascii="Arial" w:hAnsi="Arial" w:cs="Arial"/>
          <w:sz w:val="20"/>
          <w:szCs w:val="20"/>
        </w:rPr>
        <w:t>half-yearly</w:t>
      </w:r>
      <w:r w:rsidRPr="006126F5">
        <w:rPr>
          <w:rFonts w:ascii="Arial" w:hAnsi="Arial" w:cs="Arial"/>
          <w:sz w:val="20"/>
          <w:szCs w:val="20"/>
        </w:rPr>
        <w:t xml:space="preserve"> financial report and considered whether it contains any apparent misstatements or material inconsistencies with the information in the condensed set of financial statements.</w:t>
      </w:r>
    </w:p>
    <w:p w:rsidR="00B44B33" w:rsidRPr="00573EAA" w:rsidRDefault="00B44B33" w:rsidP="00E058F5">
      <w:pPr>
        <w:jc w:val="both"/>
        <w:rPr>
          <w:rFonts w:ascii="Arial" w:hAnsi="Arial" w:cs="Arial"/>
          <w:sz w:val="20"/>
          <w:szCs w:val="20"/>
        </w:rPr>
      </w:pPr>
    </w:p>
    <w:p w:rsidR="00B44B33" w:rsidRPr="00E058F5" w:rsidRDefault="00B44B33" w:rsidP="00E058F5">
      <w:pPr>
        <w:jc w:val="both"/>
        <w:rPr>
          <w:rFonts w:ascii="Arial" w:hAnsi="Arial" w:cs="Arial"/>
          <w:sz w:val="20"/>
          <w:szCs w:val="20"/>
        </w:rPr>
      </w:pPr>
      <w:r w:rsidRPr="00E058F5">
        <w:rPr>
          <w:rFonts w:ascii="Arial" w:hAnsi="Arial" w:cs="Arial"/>
          <w:snapToGrid w:val="0"/>
          <w:sz w:val="20"/>
          <w:szCs w:val="20"/>
        </w:rPr>
        <w:t xml:space="preserve">This report is made solely to the Company in accordance with International Standard on Review Engagements (UK and Ireland) 2410 </w:t>
      </w:r>
      <w:r w:rsidRPr="00E058F5">
        <w:rPr>
          <w:rFonts w:ascii="Arial" w:hAnsi="Arial" w:cs="Arial"/>
          <w:sz w:val="20"/>
          <w:szCs w:val="20"/>
        </w:rPr>
        <w:t xml:space="preserve">“Review of Interim Financial Information Performed by the Independent Auditor of the Entity” </w:t>
      </w:r>
      <w:r w:rsidRPr="00E058F5">
        <w:rPr>
          <w:rFonts w:ascii="Arial" w:hAnsi="Arial" w:cs="Arial"/>
          <w:snapToGrid w:val="0"/>
          <w:sz w:val="20"/>
          <w:szCs w:val="20"/>
        </w:rPr>
        <w:t>issued by the Auditing Practices Board. Our work has been undertaken so that we might state to the Company those matters we are required to state to it in an independent review report and for no other purpose. To the fullest extent permitted by law, we do not accept or assume responsibility to anyone other than the Company, for our review work, for this report, or for the conclusions we have formed.</w:t>
      </w:r>
    </w:p>
    <w:p w:rsidR="00B44B33" w:rsidRPr="00E058F5" w:rsidRDefault="00B44B33" w:rsidP="00E058F5">
      <w:pPr>
        <w:jc w:val="both"/>
        <w:rPr>
          <w:rFonts w:ascii="Arial" w:hAnsi="Arial" w:cs="Arial"/>
          <w:sz w:val="20"/>
          <w:szCs w:val="20"/>
        </w:rPr>
      </w:pPr>
    </w:p>
    <w:p w:rsidR="00B44B33" w:rsidRPr="00E058F5" w:rsidRDefault="00B44B33" w:rsidP="00E058F5">
      <w:pPr>
        <w:jc w:val="both"/>
        <w:rPr>
          <w:rFonts w:ascii="Arial" w:hAnsi="Arial" w:cs="Arial"/>
          <w:b/>
          <w:sz w:val="20"/>
          <w:szCs w:val="20"/>
        </w:rPr>
      </w:pPr>
      <w:r w:rsidRPr="00E058F5">
        <w:rPr>
          <w:rFonts w:ascii="Arial" w:hAnsi="Arial" w:cs="Arial"/>
          <w:b/>
          <w:sz w:val="20"/>
          <w:szCs w:val="20"/>
        </w:rPr>
        <w:t>Directors’ responsibilities</w:t>
      </w:r>
    </w:p>
    <w:p w:rsidR="00B44B33" w:rsidRPr="00E058F5" w:rsidRDefault="00B44B33" w:rsidP="00E058F5">
      <w:pPr>
        <w:jc w:val="both"/>
        <w:rPr>
          <w:rFonts w:ascii="Arial" w:hAnsi="Arial" w:cs="Arial"/>
          <w:b/>
          <w:sz w:val="20"/>
          <w:szCs w:val="20"/>
        </w:rPr>
      </w:pPr>
    </w:p>
    <w:p w:rsidR="00B44B33" w:rsidRPr="00EC342E" w:rsidRDefault="00B44B33" w:rsidP="00E058F5">
      <w:pPr>
        <w:jc w:val="both"/>
        <w:rPr>
          <w:rFonts w:ascii="Arial" w:hAnsi="Arial" w:cs="Arial"/>
          <w:sz w:val="20"/>
          <w:szCs w:val="20"/>
        </w:rPr>
      </w:pPr>
      <w:r w:rsidRPr="00E058F5">
        <w:rPr>
          <w:rFonts w:ascii="Arial" w:hAnsi="Arial" w:cs="Arial"/>
          <w:sz w:val="20"/>
          <w:szCs w:val="20"/>
        </w:rPr>
        <w:t xml:space="preserve">The </w:t>
      </w:r>
      <w:r>
        <w:rPr>
          <w:rFonts w:ascii="Arial" w:hAnsi="Arial" w:cs="Arial"/>
          <w:sz w:val="20"/>
          <w:szCs w:val="20"/>
        </w:rPr>
        <w:t>half-yearly</w:t>
      </w:r>
      <w:r w:rsidRPr="00E058F5">
        <w:rPr>
          <w:rFonts w:ascii="Arial" w:hAnsi="Arial" w:cs="Arial"/>
          <w:sz w:val="20"/>
          <w:szCs w:val="20"/>
        </w:rPr>
        <w:t xml:space="preserve"> financial report is the responsibility of, and has been approved by, the </w:t>
      </w:r>
      <w:r>
        <w:rPr>
          <w:rFonts w:ascii="Arial" w:hAnsi="Arial" w:cs="Arial"/>
          <w:sz w:val="20"/>
          <w:szCs w:val="20"/>
        </w:rPr>
        <w:t>D</w:t>
      </w:r>
      <w:r w:rsidRPr="00EC342E">
        <w:rPr>
          <w:rFonts w:ascii="Arial" w:hAnsi="Arial" w:cs="Arial"/>
          <w:sz w:val="20"/>
          <w:szCs w:val="20"/>
        </w:rPr>
        <w:t xml:space="preserve">irectors. The </w:t>
      </w:r>
      <w:r>
        <w:rPr>
          <w:rFonts w:ascii="Arial" w:hAnsi="Arial" w:cs="Arial"/>
          <w:sz w:val="20"/>
          <w:szCs w:val="20"/>
        </w:rPr>
        <w:t>D</w:t>
      </w:r>
      <w:r w:rsidRPr="00EC342E">
        <w:rPr>
          <w:rFonts w:ascii="Arial" w:hAnsi="Arial" w:cs="Arial"/>
          <w:sz w:val="20"/>
          <w:szCs w:val="20"/>
        </w:rPr>
        <w:t xml:space="preserve">irectors are responsible for preparing the </w:t>
      </w:r>
      <w:r>
        <w:rPr>
          <w:rFonts w:ascii="Arial" w:hAnsi="Arial" w:cs="Arial"/>
          <w:sz w:val="20"/>
          <w:szCs w:val="20"/>
        </w:rPr>
        <w:t>half-yearly</w:t>
      </w:r>
      <w:r w:rsidRPr="00EC342E">
        <w:rPr>
          <w:rFonts w:ascii="Arial" w:hAnsi="Arial" w:cs="Arial"/>
          <w:sz w:val="20"/>
          <w:szCs w:val="20"/>
        </w:rPr>
        <w:t xml:space="preserve"> financial report in accordance with the AIM Rules of the London Stock Exchange.</w:t>
      </w:r>
    </w:p>
    <w:p w:rsidR="00B44B33" w:rsidRPr="006126F5" w:rsidRDefault="00B44B33" w:rsidP="00E058F5">
      <w:pPr>
        <w:jc w:val="both"/>
        <w:rPr>
          <w:rFonts w:ascii="Arial" w:hAnsi="Arial" w:cs="Arial"/>
          <w:sz w:val="20"/>
          <w:szCs w:val="20"/>
        </w:rPr>
      </w:pPr>
    </w:p>
    <w:p w:rsidR="00B44B33" w:rsidRDefault="00B44B33" w:rsidP="006126F5">
      <w:pPr>
        <w:jc w:val="both"/>
        <w:rPr>
          <w:rFonts w:ascii="Arial" w:hAnsi="Arial" w:cs="Arial"/>
          <w:sz w:val="20"/>
          <w:szCs w:val="20"/>
        </w:rPr>
      </w:pPr>
      <w:r w:rsidRPr="006126F5">
        <w:rPr>
          <w:rFonts w:ascii="Arial" w:hAnsi="Arial" w:cs="Arial"/>
          <w:sz w:val="20"/>
          <w:szCs w:val="20"/>
        </w:rPr>
        <w:t xml:space="preserve">As disclosed in note 1, the annual financial statements of the </w:t>
      </w:r>
      <w:r>
        <w:rPr>
          <w:rFonts w:ascii="Arial" w:hAnsi="Arial" w:cs="Arial"/>
          <w:sz w:val="20"/>
          <w:szCs w:val="20"/>
        </w:rPr>
        <w:t>G</w:t>
      </w:r>
      <w:r w:rsidRPr="006126F5">
        <w:rPr>
          <w:rFonts w:ascii="Arial" w:hAnsi="Arial" w:cs="Arial"/>
          <w:sz w:val="20"/>
          <w:szCs w:val="20"/>
        </w:rPr>
        <w:t xml:space="preserve">roup are prepared in accordance with IFRSs as adopted by the European Union. </w:t>
      </w:r>
      <w:r>
        <w:rPr>
          <w:rFonts w:ascii="Arial" w:hAnsi="Arial" w:cs="Arial"/>
          <w:sz w:val="20"/>
          <w:szCs w:val="20"/>
        </w:rPr>
        <w:t>The condensed set of financial statements included in this half-yearly financial report have been prepared in accordance with the accounting policies the company intends to use in preparing its next annual financial statements.</w:t>
      </w:r>
    </w:p>
    <w:p w:rsidR="00B44B33" w:rsidRPr="00E058F5" w:rsidRDefault="00B44B33" w:rsidP="006126F5">
      <w:pPr>
        <w:jc w:val="both"/>
        <w:rPr>
          <w:rFonts w:ascii="Arial" w:hAnsi="Arial" w:cs="Arial"/>
          <w:sz w:val="20"/>
          <w:szCs w:val="20"/>
        </w:rPr>
      </w:pPr>
      <w:r w:rsidRPr="006126F5">
        <w:rPr>
          <w:rFonts w:ascii="Arial" w:hAnsi="Arial" w:cs="Arial"/>
          <w:sz w:val="20"/>
          <w:szCs w:val="20"/>
        </w:rPr>
        <w:t xml:space="preserve"> </w:t>
      </w:r>
    </w:p>
    <w:p w:rsidR="00B44B33" w:rsidRPr="00E058F5" w:rsidRDefault="00B44B33" w:rsidP="006126F5">
      <w:pPr>
        <w:jc w:val="both"/>
        <w:rPr>
          <w:rFonts w:ascii="Arial" w:hAnsi="Arial" w:cs="Arial"/>
          <w:b/>
          <w:sz w:val="20"/>
          <w:szCs w:val="20"/>
        </w:rPr>
      </w:pPr>
      <w:r w:rsidRPr="00E058F5">
        <w:rPr>
          <w:rFonts w:ascii="Arial" w:hAnsi="Arial" w:cs="Arial"/>
          <w:b/>
          <w:sz w:val="20"/>
          <w:szCs w:val="20"/>
        </w:rPr>
        <w:t>Our responsibility</w:t>
      </w:r>
    </w:p>
    <w:p w:rsidR="00B44B33" w:rsidRPr="00E058F5" w:rsidRDefault="00B44B33" w:rsidP="006126F5">
      <w:pPr>
        <w:jc w:val="both"/>
        <w:rPr>
          <w:rFonts w:ascii="Arial" w:hAnsi="Arial" w:cs="Arial"/>
          <w:sz w:val="20"/>
          <w:szCs w:val="20"/>
        </w:rPr>
      </w:pPr>
    </w:p>
    <w:p w:rsidR="00B44B33" w:rsidRPr="00E058F5" w:rsidRDefault="00B44B33" w:rsidP="00573EAA">
      <w:pPr>
        <w:jc w:val="both"/>
        <w:rPr>
          <w:rFonts w:ascii="Arial" w:hAnsi="Arial" w:cs="Arial"/>
          <w:sz w:val="20"/>
          <w:szCs w:val="20"/>
        </w:rPr>
      </w:pPr>
      <w:r w:rsidRPr="00E058F5">
        <w:rPr>
          <w:rFonts w:ascii="Arial" w:hAnsi="Arial" w:cs="Arial"/>
          <w:sz w:val="20"/>
          <w:szCs w:val="20"/>
        </w:rPr>
        <w:t xml:space="preserve">Our responsibility is to express to the Company a conclusion on the condensed set of financial statements in the </w:t>
      </w:r>
      <w:r>
        <w:rPr>
          <w:rFonts w:ascii="Arial" w:hAnsi="Arial" w:cs="Arial"/>
          <w:sz w:val="20"/>
          <w:szCs w:val="20"/>
        </w:rPr>
        <w:t>half-yearly</w:t>
      </w:r>
      <w:r w:rsidRPr="00E058F5">
        <w:rPr>
          <w:rFonts w:ascii="Arial" w:hAnsi="Arial" w:cs="Arial"/>
          <w:sz w:val="20"/>
          <w:szCs w:val="20"/>
        </w:rPr>
        <w:t xml:space="preserve"> financial report based on our review.</w:t>
      </w:r>
    </w:p>
    <w:p w:rsidR="00B44B33" w:rsidRPr="00E058F5" w:rsidRDefault="00B44B33">
      <w:pPr>
        <w:jc w:val="both"/>
        <w:rPr>
          <w:rFonts w:ascii="Arial" w:hAnsi="Arial" w:cs="Arial"/>
          <w:sz w:val="20"/>
          <w:szCs w:val="20"/>
        </w:rPr>
      </w:pPr>
    </w:p>
    <w:p w:rsidR="00B44B33" w:rsidRPr="00E058F5" w:rsidRDefault="00B44B33">
      <w:pPr>
        <w:jc w:val="both"/>
        <w:rPr>
          <w:rFonts w:ascii="Arial" w:hAnsi="Arial" w:cs="Arial"/>
          <w:b/>
          <w:sz w:val="20"/>
          <w:szCs w:val="20"/>
        </w:rPr>
      </w:pPr>
      <w:r w:rsidRPr="00E058F5">
        <w:rPr>
          <w:rFonts w:ascii="Arial" w:hAnsi="Arial" w:cs="Arial"/>
          <w:b/>
          <w:sz w:val="20"/>
          <w:szCs w:val="20"/>
        </w:rPr>
        <w:t xml:space="preserve">Scope of review </w:t>
      </w:r>
    </w:p>
    <w:p w:rsidR="00B44B33" w:rsidRPr="00E058F5" w:rsidRDefault="00B44B33">
      <w:pPr>
        <w:jc w:val="both"/>
        <w:rPr>
          <w:rFonts w:ascii="Arial" w:hAnsi="Arial" w:cs="Arial"/>
          <w:sz w:val="20"/>
          <w:szCs w:val="20"/>
        </w:rPr>
      </w:pPr>
    </w:p>
    <w:p w:rsidR="00B44B33" w:rsidRPr="00E058F5" w:rsidRDefault="00B44B33">
      <w:pPr>
        <w:jc w:val="both"/>
        <w:rPr>
          <w:rFonts w:ascii="Arial" w:hAnsi="Arial" w:cs="Arial"/>
          <w:sz w:val="20"/>
          <w:szCs w:val="20"/>
        </w:rPr>
      </w:pPr>
      <w:r w:rsidRPr="00E058F5">
        <w:rPr>
          <w:rFonts w:ascii="Arial" w:hAnsi="Arial" w:cs="Arial"/>
          <w:sz w:val="20"/>
          <w:szCs w:val="20"/>
        </w:rPr>
        <w:t>We conducted our review in accordance with International Standard on Review Engagements (UK and Ireland) 2410 “Review of Interim Financial Information Performed by the Independent Auditor of the Entity” issued by the Auditing Practices Board for use in the United Kingdom. A review of interim financial information consists of making inquiries, primarily of persons responsible for financial and accounting matters, and applying analytical and other review procedures. A review is substantially less in scope than an audit conducted in accordance with International Standards on Auditing (UK and Ireland) and consequently does not enable us to obtain assurance that we would become aware of all significant matters that might be identified in an audit. Accordingly, we do not express an audit opinion.</w:t>
      </w:r>
    </w:p>
    <w:p w:rsidR="00B44B33" w:rsidRPr="00E058F5" w:rsidRDefault="00B44B33">
      <w:pPr>
        <w:jc w:val="both"/>
        <w:rPr>
          <w:rFonts w:ascii="Arial" w:hAnsi="Arial" w:cs="Arial"/>
          <w:b/>
          <w:sz w:val="20"/>
          <w:szCs w:val="20"/>
        </w:rPr>
      </w:pPr>
    </w:p>
    <w:p w:rsidR="00B44B33" w:rsidRPr="00E058F5" w:rsidRDefault="00B44B33">
      <w:pPr>
        <w:jc w:val="both"/>
        <w:rPr>
          <w:rFonts w:ascii="Arial" w:hAnsi="Arial" w:cs="Arial"/>
          <w:b/>
          <w:sz w:val="20"/>
          <w:szCs w:val="20"/>
        </w:rPr>
      </w:pPr>
      <w:r w:rsidRPr="00E058F5">
        <w:rPr>
          <w:rFonts w:ascii="Arial" w:hAnsi="Arial" w:cs="Arial"/>
          <w:b/>
          <w:sz w:val="20"/>
          <w:szCs w:val="20"/>
        </w:rPr>
        <w:t>Conclusion</w:t>
      </w:r>
    </w:p>
    <w:p w:rsidR="00B44B33" w:rsidRPr="00E058F5" w:rsidRDefault="00B44B33">
      <w:pPr>
        <w:jc w:val="both"/>
        <w:rPr>
          <w:rFonts w:ascii="Arial" w:hAnsi="Arial" w:cs="Arial"/>
          <w:sz w:val="20"/>
          <w:szCs w:val="20"/>
        </w:rPr>
      </w:pPr>
    </w:p>
    <w:p w:rsidR="00B44B33" w:rsidRPr="00E058F5" w:rsidRDefault="00B44B33">
      <w:pPr>
        <w:jc w:val="both"/>
        <w:rPr>
          <w:rFonts w:ascii="Arial" w:hAnsi="Arial" w:cs="Arial"/>
          <w:sz w:val="20"/>
          <w:szCs w:val="20"/>
        </w:rPr>
      </w:pPr>
      <w:r w:rsidRPr="00E058F5">
        <w:rPr>
          <w:rFonts w:ascii="Arial" w:hAnsi="Arial" w:cs="Arial"/>
          <w:sz w:val="20"/>
          <w:szCs w:val="20"/>
        </w:rPr>
        <w:t xml:space="preserve">Based on our review, nothing has come to our attention that causes us to believe that the condensed set of financial statements in the </w:t>
      </w:r>
      <w:r>
        <w:rPr>
          <w:rFonts w:ascii="Arial" w:hAnsi="Arial" w:cs="Arial"/>
          <w:sz w:val="20"/>
          <w:szCs w:val="20"/>
        </w:rPr>
        <w:t>half-yearly</w:t>
      </w:r>
      <w:r w:rsidRPr="00E058F5">
        <w:rPr>
          <w:rFonts w:ascii="Arial" w:hAnsi="Arial" w:cs="Arial"/>
          <w:sz w:val="20"/>
          <w:szCs w:val="20"/>
        </w:rPr>
        <w:t xml:space="preserve"> financial report for the seven months ended 31 December 2012 is not prepared, in all material respects, in accordance with the AIM Rules of the London Stock Exchange.</w:t>
      </w:r>
    </w:p>
    <w:p w:rsidR="00B44B33" w:rsidRPr="00E058F5" w:rsidRDefault="00B44B33">
      <w:pPr>
        <w:rPr>
          <w:rFonts w:ascii="Arial" w:hAnsi="Arial" w:cs="Arial"/>
          <w:sz w:val="20"/>
          <w:szCs w:val="20"/>
        </w:rPr>
      </w:pPr>
    </w:p>
    <w:p w:rsidR="00B44B33" w:rsidRDefault="00B44B33">
      <w:pPr>
        <w:rPr>
          <w:rFonts w:ascii="Arial" w:hAnsi="Arial" w:cs="Arial"/>
          <w:b/>
          <w:i/>
          <w:sz w:val="20"/>
          <w:szCs w:val="20"/>
        </w:rPr>
      </w:pPr>
    </w:p>
    <w:p w:rsidR="00B44B33" w:rsidRDefault="00B44B33">
      <w:pPr>
        <w:rPr>
          <w:rFonts w:ascii="Arial" w:hAnsi="Arial" w:cs="Arial"/>
          <w:b/>
          <w:i/>
          <w:sz w:val="20"/>
          <w:szCs w:val="20"/>
        </w:rPr>
      </w:pPr>
    </w:p>
    <w:p w:rsidR="00B44B33" w:rsidRPr="00E058F5" w:rsidRDefault="00B44B33">
      <w:pPr>
        <w:rPr>
          <w:rFonts w:ascii="Arial" w:hAnsi="Arial" w:cs="Arial"/>
          <w:b/>
          <w:i/>
          <w:sz w:val="20"/>
          <w:szCs w:val="20"/>
        </w:rPr>
      </w:pPr>
      <w:r w:rsidRPr="00E058F5">
        <w:rPr>
          <w:rFonts w:ascii="Arial" w:hAnsi="Arial" w:cs="Arial"/>
          <w:b/>
          <w:i/>
          <w:sz w:val="20"/>
          <w:szCs w:val="20"/>
        </w:rPr>
        <w:t>Deloitte LLP</w:t>
      </w:r>
    </w:p>
    <w:p w:rsidR="00B44B33" w:rsidRPr="00E058F5" w:rsidRDefault="00B44B33">
      <w:pPr>
        <w:rPr>
          <w:rFonts w:ascii="Arial" w:hAnsi="Arial" w:cs="Arial"/>
          <w:i/>
          <w:sz w:val="20"/>
          <w:szCs w:val="20"/>
        </w:rPr>
      </w:pPr>
      <w:r w:rsidRPr="00E058F5">
        <w:rPr>
          <w:rFonts w:ascii="Arial" w:hAnsi="Arial" w:cs="Arial"/>
          <w:i/>
          <w:sz w:val="20"/>
          <w:szCs w:val="20"/>
        </w:rPr>
        <w:t>Chartered Accountants and Statutory Auditor</w:t>
      </w:r>
    </w:p>
    <w:p w:rsidR="00B44B33" w:rsidRPr="00E058F5" w:rsidRDefault="00B44B33">
      <w:pPr>
        <w:rPr>
          <w:rFonts w:ascii="Arial" w:hAnsi="Arial" w:cs="Arial"/>
          <w:i/>
          <w:sz w:val="20"/>
          <w:szCs w:val="20"/>
        </w:rPr>
      </w:pPr>
      <w:r w:rsidRPr="00E058F5">
        <w:rPr>
          <w:rFonts w:ascii="Arial" w:hAnsi="Arial" w:cs="Arial"/>
          <w:i/>
          <w:sz w:val="20"/>
          <w:szCs w:val="20"/>
        </w:rPr>
        <w:t>Glasgow, Scotland</w:t>
      </w:r>
    </w:p>
    <w:p w:rsidR="00B44B33" w:rsidRPr="00E058F5" w:rsidRDefault="00B44B33">
      <w:pPr>
        <w:rPr>
          <w:rFonts w:ascii="Arial" w:hAnsi="Arial" w:cs="Arial"/>
          <w:i/>
          <w:sz w:val="20"/>
          <w:szCs w:val="20"/>
        </w:rPr>
      </w:pPr>
      <w:r>
        <w:rPr>
          <w:rFonts w:ascii="Arial" w:hAnsi="Arial" w:cs="Arial"/>
          <w:i/>
          <w:sz w:val="20"/>
          <w:szCs w:val="20"/>
        </w:rPr>
        <w:t>4 March 2013</w:t>
      </w:r>
    </w:p>
    <w:p w:rsidR="00B44B33" w:rsidRPr="00DD509F" w:rsidRDefault="00B44B33" w:rsidP="00196068">
      <w:pPr>
        <w:widowControl/>
        <w:adjustRightInd w:val="0"/>
        <w:rPr>
          <w:rFonts w:ascii="Arial" w:hAnsi="Arial" w:cs="Arial"/>
          <w:sz w:val="20"/>
          <w:szCs w:val="20"/>
        </w:rPr>
        <w:sectPr w:rsidR="00B44B33" w:rsidRPr="00DD509F" w:rsidSect="006540D7">
          <w:footerReference w:type="even" r:id="rId9"/>
          <w:footerReference w:type="default" r:id="rId10"/>
          <w:pgSz w:w="11904" w:h="16843"/>
          <w:pgMar w:top="1440" w:right="1440" w:bottom="1440" w:left="1440" w:header="720" w:footer="720" w:gutter="0"/>
          <w:cols w:space="720"/>
          <w:noEndnote/>
          <w:titlePg/>
          <w:docGrid w:linePitch="326"/>
        </w:sectPr>
      </w:pPr>
    </w:p>
    <w:tbl>
      <w:tblPr>
        <w:tblW w:w="9639" w:type="dxa"/>
        <w:tblLayout w:type="fixed"/>
        <w:tblLook w:val="0000" w:firstRow="0" w:lastRow="0" w:firstColumn="0" w:lastColumn="0" w:noHBand="0" w:noVBand="0"/>
      </w:tblPr>
      <w:tblGrid>
        <w:gridCol w:w="7641"/>
        <w:gridCol w:w="708"/>
        <w:gridCol w:w="1290"/>
      </w:tblGrid>
      <w:tr w:rsidR="00B44B33" w:rsidRPr="00DD509F" w:rsidTr="00713765">
        <w:trPr>
          <w:trHeight w:hRule="exact" w:val="1800"/>
        </w:trPr>
        <w:tc>
          <w:tcPr>
            <w:tcW w:w="7641" w:type="dxa"/>
          </w:tcPr>
          <w:p w:rsidR="00B44B33" w:rsidRPr="00DD509F" w:rsidRDefault="00B44B33" w:rsidP="00530CF2">
            <w:pPr>
              <w:rPr>
                <w:rFonts w:ascii="Arial" w:hAnsi="Arial" w:cs="Arial"/>
                <w:b/>
                <w:bCs/>
                <w:sz w:val="20"/>
                <w:szCs w:val="20"/>
              </w:rPr>
            </w:pPr>
            <w:r w:rsidRPr="00DD509F">
              <w:rPr>
                <w:rFonts w:ascii="Arial" w:hAnsi="Arial" w:cs="Arial"/>
                <w:b/>
                <w:bCs/>
                <w:sz w:val="20"/>
                <w:szCs w:val="20"/>
              </w:rPr>
              <w:t>Condensed consolidated Income Statement</w:t>
            </w:r>
          </w:p>
          <w:p w:rsidR="00B44B33" w:rsidRPr="00DD509F" w:rsidRDefault="00B44B33" w:rsidP="00530CF2">
            <w:pPr>
              <w:rPr>
                <w:rFonts w:ascii="Arial" w:hAnsi="Arial" w:cs="Arial"/>
                <w:b/>
                <w:bCs/>
                <w:sz w:val="20"/>
                <w:szCs w:val="20"/>
              </w:rPr>
            </w:pPr>
            <w:r w:rsidRPr="00DD509F">
              <w:rPr>
                <w:rFonts w:ascii="Arial" w:hAnsi="Arial" w:cs="Arial"/>
                <w:b/>
                <w:bCs/>
                <w:sz w:val="20"/>
                <w:szCs w:val="20"/>
              </w:rPr>
              <w:t>For the 7 month period from incorporation to 31</w:t>
            </w:r>
            <w:r>
              <w:rPr>
                <w:rFonts w:ascii="Arial" w:hAnsi="Arial" w:cs="Arial"/>
                <w:b/>
                <w:bCs/>
                <w:sz w:val="20"/>
                <w:szCs w:val="20"/>
              </w:rPr>
              <w:t xml:space="preserve"> </w:t>
            </w:r>
            <w:r w:rsidRPr="00DD509F">
              <w:rPr>
                <w:rFonts w:ascii="Arial" w:hAnsi="Arial" w:cs="Arial"/>
                <w:b/>
                <w:bCs/>
                <w:sz w:val="20"/>
                <w:szCs w:val="20"/>
              </w:rPr>
              <w:t>December 2012</w:t>
            </w:r>
          </w:p>
        </w:tc>
        <w:tc>
          <w:tcPr>
            <w:tcW w:w="708" w:type="dxa"/>
          </w:tcPr>
          <w:p w:rsidR="00B44B33" w:rsidRPr="00DD509F" w:rsidRDefault="00B44B33" w:rsidP="00530CF2">
            <w:pPr>
              <w:rPr>
                <w:rFonts w:ascii="Arial" w:hAnsi="Arial" w:cs="Arial"/>
                <w:sz w:val="20"/>
                <w:szCs w:val="20"/>
              </w:rPr>
            </w:pPr>
          </w:p>
        </w:tc>
        <w:tc>
          <w:tcPr>
            <w:tcW w:w="1290" w:type="dxa"/>
          </w:tcPr>
          <w:p w:rsidR="00B44B33" w:rsidRPr="00DD509F" w:rsidRDefault="00B44B33" w:rsidP="00530CF2">
            <w:pPr>
              <w:jc w:val="right"/>
              <w:rPr>
                <w:rFonts w:ascii="Arial" w:hAnsi="Arial" w:cs="Arial"/>
                <w:i/>
                <w:iCs/>
                <w:spacing w:val="4"/>
                <w:sz w:val="20"/>
                <w:szCs w:val="20"/>
              </w:rPr>
            </w:pPr>
            <w:r w:rsidRPr="00DD509F">
              <w:rPr>
                <w:rFonts w:ascii="Arial" w:hAnsi="Arial" w:cs="Arial"/>
                <w:i/>
                <w:iCs/>
                <w:spacing w:val="4"/>
                <w:sz w:val="20"/>
                <w:szCs w:val="20"/>
              </w:rPr>
              <w:t>7 month period</w:t>
            </w:r>
          </w:p>
          <w:p w:rsidR="00B44B33" w:rsidRPr="00DD509F" w:rsidRDefault="00B44B33" w:rsidP="00530CF2">
            <w:pPr>
              <w:jc w:val="right"/>
              <w:rPr>
                <w:rFonts w:ascii="Arial" w:hAnsi="Arial" w:cs="Arial"/>
                <w:i/>
                <w:iCs/>
                <w:spacing w:val="4"/>
                <w:sz w:val="20"/>
                <w:szCs w:val="20"/>
              </w:rPr>
            </w:pPr>
            <w:r w:rsidRPr="00DD509F">
              <w:rPr>
                <w:rFonts w:ascii="Arial" w:hAnsi="Arial" w:cs="Arial"/>
                <w:i/>
                <w:iCs/>
                <w:spacing w:val="4"/>
                <w:sz w:val="20"/>
                <w:szCs w:val="20"/>
              </w:rPr>
              <w:t>to 31 December</w:t>
            </w:r>
          </w:p>
          <w:p w:rsidR="00B44B33" w:rsidRPr="00DD509F" w:rsidRDefault="00B44B33" w:rsidP="00530CF2">
            <w:pPr>
              <w:jc w:val="right"/>
              <w:rPr>
                <w:rFonts w:ascii="Arial" w:hAnsi="Arial" w:cs="Arial"/>
                <w:i/>
                <w:iCs/>
                <w:spacing w:val="4"/>
                <w:sz w:val="20"/>
                <w:szCs w:val="20"/>
              </w:rPr>
            </w:pPr>
            <w:r w:rsidRPr="00DD509F">
              <w:rPr>
                <w:rFonts w:ascii="Arial" w:hAnsi="Arial" w:cs="Arial"/>
                <w:i/>
                <w:iCs/>
                <w:spacing w:val="4"/>
                <w:sz w:val="20"/>
                <w:szCs w:val="20"/>
              </w:rPr>
              <w:t>2012</w:t>
            </w:r>
          </w:p>
        </w:tc>
      </w:tr>
      <w:tr w:rsidR="00B44B33" w:rsidRPr="00DD509F" w:rsidTr="00713765">
        <w:trPr>
          <w:trHeight w:hRule="exact" w:val="264"/>
        </w:trPr>
        <w:tc>
          <w:tcPr>
            <w:tcW w:w="7641" w:type="dxa"/>
          </w:tcPr>
          <w:p w:rsidR="00B44B33" w:rsidRPr="00DD509F" w:rsidRDefault="00B44B33" w:rsidP="00530CF2">
            <w:pPr>
              <w:rPr>
                <w:rFonts w:ascii="Arial" w:hAnsi="Arial" w:cs="Arial"/>
                <w:sz w:val="20"/>
                <w:szCs w:val="20"/>
              </w:rPr>
            </w:pPr>
          </w:p>
        </w:tc>
        <w:tc>
          <w:tcPr>
            <w:tcW w:w="708" w:type="dxa"/>
          </w:tcPr>
          <w:p w:rsidR="00B44B33" w:rsidRPr="00DD509F" w:rsidRDefault="00B44B33" w:rsidP="00530CF2">
            <w:pPr>
              <w:jc w:val="center"/>
              <w:rPr>
                <w:rFonts w:ascii="Arial" w:hAnsi="Arial" w:cs="Arial"/>
                <w:i/>
                <w:iCs/>
                <w:spacing w:val="4"/>
                <w:sz w:val="20"/>
                <w:szCs w:val="20"/>
              </w:rPr>
            </w:pPr>
            <w:r w:rsidRPr="00DD509F">
              <w:rPr>
                <w:rFonts w:ascii="Arial" w:hAnsi="Arial" w:cs="Arial"/>
                <w:i/>
                <w:iCs/>
                <w:spacing w:val="4"/>
                <w:sz w:val="20"/>
                <w:szCs w:val="20"/>
              </w:rPr>
              <w:t>Notes</w:t>
            </w:r>
          </w:p>
        </w:tc>
        <w:tc>
          <w:tcPr>
            <w:tcW w:w="1290" w:type="dxa"/>
          </w:tcPr>
          <w:p w:rsidR="00B44B33" w:rsidRPr="00DD509F" w:rsidRDefault="00B44B33" w:rsidP="00530CF2">
            <w:pPr>
              <w:jc w:val="right"/>
              <w:rPr>
                <w:rFonts w:ascii="Arial" w:hAnsi="Arial" w:cs="Arial"/>
                <w:i/>
                <w:iCs/>
                <w:spacing w:val="4"/>
                <w:sz w:val="20"/>
                <w:szCs w:val="20"/>
              </w:rPr>
            </w:pPr>
            <w:r w:rsidRPr="00DD509F">
              <w:rPr>
                <w:rFonts w:ascii="Arial" w:hAnsi="Arial" w:cs="Arial"/>
                <w:i/>
                <w:iCs/>
                <w:spacing w:val="4"/>
                <w:sz w:val="20"/>
                <w:szCs w:val="20"/>
              </w:rPr>
              <w:t>£’000</w:t>
            </w:r>
          </w:p>
        </w:tc>
      </w:tr>
      <w:tr w:rsidR="00B44B33" w:rsidRPr="00DD509F" w:rsidTr="00B44B33">
        <w:trPr>
          <w:trHeight w:hRule="exact" w:val="293"/>
        </w:trPr>
        <w:tc>
          <w:tcPr>
            <w:tcW w:w="7641" w:type="dxa"/>
          </w:tcPr>
          <w:p w:rsidR="00B44B33" w:rsidRPr="00DD509F" w:rsidRDefault="00B44B33" w:rsidP="00530CF2">
            <w:pPr>
              <w:rPr>
                <w:rFonts w:ascii="Arial" w:hAnsi="Arial" w:cs="Arial"/>
                <w:sz w:val="20"/>
                <w:szCs w:val="20"/>
              </w:rPr>
            </w:pPr>
            <w:r w:rsidRPr="00DD509F">
              <w:rPr>
                <w:rFonts w:ascii="Arial" w:hAnsi="Arial" w:cs="Arial"/>
                <w:sz w:val="20"/>
                <w:szCs w:val="20"/>
              </w:rPr>
              <w:t>Revenue</w:t>
            </w:r>
          </w:p>
        </w:tc>
        <w:tc>
          <w:tcPr>
            <w:tcW w:w="708" w:type="dxa"/>
          </w:tcPr>
          <w:p w:rsidR="00B44B33" w:rsidRPr="00DD509F" w:rsidRDefault="00B44B33" w:rsidP="00530CF2">
            <w:pPr>
              <w:jc w:val="center"/>
              <w:rPr>
                <w:rFonts w:ascii="Arial" w:hAnsi="Arial" w:cs="Arial"/>
                <w:sz w:val="20"/>
                <w:szCs w:val="20"/>
              </w:rPr>
            </w:pPr>
            <w:r w:rsidRPr="00DD509F">
              <w:rPr>
                <w:rFonts w:ascii="Arial" w:hAnsi="Arial" w:cs="Arial"/>
                <w:sz w:val="20"/>
                <w:szCs w:val="20"/>
              </w:rPr>
              <w:t>3</w:t>
            </w:r>
          </w:p>
        </w:tc>
        <w:tc>
          <w:tcPr>
            <w:tcW w:w="1290" w:type="dxa"/>
          </w:tcPr>
          <w:p w:rsidR="00B44B33" w:rsidRPr="00DD509F" w:rsidRDefault="00B44B33" w:rsidP="00530CF2">
            <w:pPr>
              <w:jc w:val="right"/>
              <w:rPr>
                <w:rFonts w:ascii="Arial" w:hAnsi="Arial" w:cs="Arial"/>
                <w:sz w:val="20"/>
                <w:szCs w:val="20"/>
              </w:rPr>
            </w:pPr>
            <w:r w:rsidRPr="00DD509F">
              <w:rPr>
                <w:rFonts w:ascii="Arial" w:hAnsi="Arial" w:cs="Arial"/>
                <w:sz w:val="20"/>
                <w:szCs w:val="20"/>
              </w:rPr>
              <w:t>9,524</w:t>
            </w:r>
          </w:p>
        </w:tc>
      </w:tr>
      <w:tr w:rsidR="00B44B33" w:rsidRPr="00DD509F" w:rsidTr="00B44B33">
        <w:trPr>
          <w:trHeight w:hRule="exact" w:val="303"/>
        </w:trPr>
        <w:tc>
          <w:tcPr>
            <w:tcW w:w="7641" w:type="dxa"/>
          </w:tcPr>
          <w:p w:rsidR="00B44B33" w:rsidRPr="00DD509F" w:rsidRDefault="00B44B33" w:rsidP="00530CF2">
            <w:pPr>
              <w:rPr>
                <w:rFonts w:ascii="Arial" w:hAnsi="Arial" w:cs="Arial"/>
                <w:sz w:val="20"/>
                <w:szCs w:val="20"/>
              </w:rPr>
            </w:pPr>
            <w:r w:rsidRPr="00DD509F">
              <w:rPr>
                <w:rFonts w:ascii="Arial" w:hAnsi="Arial" w:cs="Arial"/>
                <w:sz w:val="20"/>
                <w:szCs w:val="20"/>
              </w:rPr>
              <w:t>Operating expenses</w:t>
            </w:r>
          </w:p>
        </w:tc>
        <w:tc>
          <w:tcPr>
            <w:tcW w:w="708" w:type="dxa"/>
          </w:tcPr>
          <w:p w:rsidR="00B44B33" w:rsidRPr="00DD509F" w:rsidRDefault="00B44B33" w:rsidP="00530CF2">
            <w:pPr>
              <w:jc w:val="center"/>
              <w:rPr>
                <w:rFonts w:ascii="Arial" w:hAnsi="Arial" w:cs="Arial"/>
                <w:sz w:val="20"/>
                <w:szCs w:val="20"/>
              </w:rPr>
            </w:pPr>
          </w:p>
        </w:tc>
        <w:tc>
          <w:tcPr>
            <w:tcW w:w="1290" w:type="dxa"/>
          </w:tcPr>
          <w:p w:rsidR="00B44B33" w:rsidRPr="00DD509F" w:rsidRDefault="00B44B33" w:rsidP="00530CF2">
            <w:pPr>
              <w:jc w:val="right"/>
              <w:rPr>
                <w:rFonts w:ascii="Arial" w:hAnsi="Arial" w:cs="Arial"/>
                <w:sz w:val="20"/>
                <w:szCs w:val="20"/>
              </w:rPr>
            </w:pPr>
          </w:p>
        </w:tc>
      </w:tr>
      <w:tr w:rsidR="00B44B33" w:rsidRPr="00DD509F" w:rsidTr="00B44B33">
        <w:trPr>
          <w:trHeight w:hRule="exact" w:val="245"/>
        </w:trPr>
        <w:tc>
          <w:tcPr>
            <w:tcW w:w="7641" w:type="dxa"/>
          </w:tcPr>
          <w:p w:rsidR="00B44B33" w:rsidRPr="00DD509F" w:rsidRDefault="00B44B33" w:rsidP="00147CD2">
            <w:pPr>
              <w:rPr>
                <w:rFonts w:ascii="Arial" w:hAnsi="Arial" w:cs="Arial"/>
                <w:sz w:val="20"/>
                <w:szCs w:val="20"/>
              </w:rPr>
            </w:pPr>
            <w:r>
              <w:rPr>
                <w:rFonts w:ascii="Arial" w:hAnsi="Arial" w:cs="Arial"/>
                <w:sz w:val="20"/>
                <w:szCs w:val="20"/>
              </w:rPr>
              <w:t xml:space="preserve">   -  </w:t>
            </w:r>
            <w:r w:rsidRPr="00DD509F">
              <w:rPr>
                <w:rFonts w:ascii="Arial" w:hAnsi="Arial" w:cs="Arial"/>
                <w:sz w:val="20"/>
                <w:szCs w:val="20"/>
              </w:rPr>
              <w:t>Amortisation of players</w:t>
            </w:r>
            <w:r>
              <w:rPr>
                <w:rFonts w:ascii="Arial" w:hAnsi="Arial" w:cs="Arial"/>
                <w:sz w:val="20"/>
                <w:szCs w:val="20"/>
              </w:rPr>
              <w:t>’</w:t>
            </w:r>
            <w:r w:rsidRPr="00DD509F">
              <w:rPr>
                <w:rFonts w:ascii="Arial" w:hAnsi="Arial" w:cs="Arial"/>
                <w:sz w:val="20"/>
                <w:szCs w:val="20"/>
              </w:rPr>
              <w:t xml:space="preserve"> registrations</w:t>
            </w:r>
          </w:p>
        </w:tc>
        <w:tc>
          <w:tcPr>
            <w:tcW w:w="708" w:type="dxa"/>
          </w:tcPr>
          <w:p w:rsidR="00B44B33" w:rsidRPr="00DD509F" w:rsidRDefault="00B44B33" w:rsidP="00147CD2">
            <w:pPr>
              <w:jc w:val="center"/>
              <w:rPr>
                <w:rFonts w:ascii="Arial" w:hAnsi="Arial" w:cs="Arial"/>
                <w:sz w:val="20"/>
                <w:szCs w:val="20"/>
              </w:rPr>
            </w:pPr>
            <w:r w:rsidRPr="00DD509F">
              <w:rPr>
                <w:rFonts w:ascii="Arial" w:hAnsi="Arial" w:cs="Arial"/>
                <w:sz w:val="20"/>
                <w:szCs w:val="20"/>
              </w:rPr>
              <w:t>9</w:t>
            </w:r>
          </w:p>
        </w:tc>
        <w:tc>
          <w:tcPr>
            <w:tcW w:w="1290" w:type="dxa"/>
          </w:tcPr>
          <w:p w:rsidR="00B44B33" w:rsidRPr="00DD509F" w:rsidRDefault="00B44B33" w:rsidP="00147CD2">
            <w:pPr>
              <w:jc w:val="right"/>
              <w:rPr>
                <w:rFonts w:ascii="Arial" w:hAnsi="Arial" w:cs="Arial"/>
                <w:sz w:val="20"/>
                <w:szCs w:val="20"/>
              </w:rPr>
            </w:pPr>
            <w:r w:rsidRPr="00DD509F">
              <w:rPr>
                <w:rFonts w:ascii="Arial" w:hAnsi="Arial" w:cs="Arial"/>
                <w:sz w:val="20"/>
                <w:szCs w:val="20"/>
              </w:rPr>
              <w:t>(860)</w:t>
            </w:r>
          </w:p>
        </w:tc>
      </w:tr>
      <w:tr w:rsidR="00B44B33" w:rsidRPr="00DD509F" w:rsidTr="00B44B33">
        <w:trPr>
          <w:trHeight w:hRule="exact" w:val="331"/>
        </w:trPr>
        <w:tc>
          <w:tcPr>
            <w:tcW w:w="7641" w:type="dxa"/>
          </w:tcPr>
          <w:p w:rsidR="00B44B33" w:rsidRPr="00DD509F" w:rsidRDefault="00B44B33" w:rsidP="00530CF2">
            <w:pPr>
              <w:rPr>
                <w:rFonts w:ascii="Arial" w:hAnsi="Arial" w:cs="Arial"/>
                <w:sz w:val="20"/>
                <w:szCs w:val="20"/>
              </w:rPr>
            </w:pPr>
            <w:r>
              <w:rPr>
                <w:rFonts w:ascii="Arial" w:hAnsi="Arial" w:cs="Arial"/>
                <w:sz w:val="20"/>
                <w:szCs w:val="20"/>
              </w:rPr>
              <w:t xml:space="preserve">   -  Other</w:t>
            </w:r>
          </w:p>
        </w:tc>
        <w:tc>
          <w:tcPr>
            <w:tcW w:w="708" w:type="dxa"/>
            <w:tcBorders>
              <w:right w:val="single" w:sz="2" w:space="0" w:color="auto"/>
            </w:tcBorders>
          </w:tcPr>
          <w:p w:rsidR="00B44B33" w:rsidRPr="00DD509F" w:rsidRDefault="00B44B33" w:rsidP="00530CF2">
            <w:pPr>
              <w:jc w:val="center"/>
              <w:rPr>
                <w:rFonts w:ascii="Arial" w:hAnsi="Arial" w:cs="Arial"/>
                <w:sz w:val="20"/>
                <w:szCs w:val="20"/>
              </w:rPr>
            </w:pPr>
          </w:p>
        </w:tc>
        <w:tc>
          <w:tcPr>
            <w:tcW w:w="1290" w:type="dxa"/>
            <w:tcBorders>
              <w:left w:val="single" w:sz="2" w:space="0" w:color="auto"/>
              <w:bottom w:val="single" w:sz="2" w:space="0" w:color="auto"/>
              <w:right w:val="single" w:sz="2" w:space="0" w:color="auto"/>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(15,712)</w:t>
            </w:r>
          </w:p>
        </w:tc>
      </w:tr>
      <w:tr w:rsidR="00B44B33" w:rsidRPr="00DD509F" w:rsidTr="00B44B33">
        <w:trPr>
          <w:trHeight w:hRule="exact" w:val="331"/>
        </w:trPr>
        <w:tc>
          <w:tcPr>
            <w:tcW w:w="7641" w:type="dxa"/>
          </w:tcPr>
          <w:p w:rsidR="00B44B33" w:rsidRPr="00DD509F" w:rsidRDefault="00B44B33" w:rsidP="00530CF2">
            <w:pPr>
              <w:rPr>
                <w:rFonts w:ascii="Arial" w:hAnsi="Arial" w:cs="Arial"/>
                <w:sz w:val="20"/>
                <w:szCs w:val="20"/>
              </w:rPr>
            </w:pPr>
            <w:r>
              <w:rPr>
                <w:rFonts w:ascii="Arial" w:hAnsi="Arial" w:cs="Arial"/>
                <w:sz w:val="20"/>
                <w:szCs w:val="20"/>
              </w:rPr>
              <w:t>Total operating expenses</w:t>
            </w:r>
          </w:p>
        </w:tc>
        <w:tc>
          <w:tcPr>
            <w:tcW w:w="708" w:type="dxa"/>
          </w:tcPr>
          <w:p w:rsidR="00B44B33" w:rsidRPr="00DD509F" w:rsidRDefault="00B44B33" w:rsidP="00530CF2">
            <w:pPr>
              <w:jc w:val="center"/>
              <w:rPr>
                <w:rFonts w:ascii="Arial" w:hAnsi="Arial" w:cs="Arial"/>
                <w:sz w:val="20"/>
                <w:szCs w:val="20"/>
              </w:rPr>
            </w:pPr>
          </w:p>
        </w:tc>
        <w:tc>
          <w:tcPr>
            <w:tcW w:w="1290" w:type="dxa"/>
          </w:tcPr>
          <w:p w:rsidR="00B44B33" w:rsidRPr="00DD509F" w:rsidRDefault="00B44B33" w:rsidP="00530CF2">
            <w:pPr>
              <w:jc w:val="right"/>
              <w:rPr>
                <w:rFonts w:ascii="Arial" w:hAnsi="Arial" w:cs="Arial"/>
                <w:sz w:val="20"/>
                <w:szCs w:val="20"/>
              </w:rPr>
            </w:pPr>
            <w:r>
              <w:rPr>
                <w:rFonts w:ascii="Arial" w:hAnsi="Arial" w:cs="Arial"/>
                <w:sz w:val="20"/>
                <w:szCs w:val="20"/>
              </w:rPr>
              <w:t>(16,572)</w:t>
            </w:r>
          </w:p>
        </w:tc>
      </w:tr>
      <w:tr w:rsidR="00B44B33" w:rsidRPr="00713765" w:rsidTr="00596536">
        <w:trPr>
          <w:trHeight w:hRule="exact" w:val="331"/>
        </w:trPr>
        <w:tc>
          <w:tcPr>
            <w:tcW w:w="7641" w:type="dxa"/>
          </w:tcPr>
          <w:p w:rsidR="00B44B33" w:rsidRPr="00AE07D8" w:rsidRDefault="00B44B33" w:rsidP="00530CF2">
            <w:pPr>
              <w:rPr>
                <w:rFonts w:ascii="Arial" w:hAnsi="Arial" w:cs="Arial"/>
                <w:b/>
                <w:sz w:val="20"/>
                <w:szCs w:val="20"/>
              </w:rPr>
            </w:pPr>
            <w:r w:rsidRPr="00AE07D8">
              <w:rPr>
                <w:rFonts w:ascii="Arial" w:hAnsi="Arial" w:cs="Arial"/>
                <w:b/>
                <w:sz w:val="20"/>
                <w:szCs w:val="20"/>
              </w:rPr>
              <w:t>Operating loss</w:t>
            </w:r>
          </w:p>
        </w:tc>
        <w:tc>
          <w:tcPr>
            <w:tcW w:w="708" w:type="dxa"/>
          </w:tcPr>
          <w:p w:rsidR="00B44B33" w:rsidRPr="00DD509F" w:rsidRDefault="00B44B33" w:rsidP="00530CF2">
            <w:pPr>
              <w:jc w:val="center"/>
              <w:rPr>
                <w:rFonts w:ascii="Arial" w:hAnsi="Arial" w:cs="Arial"/>
                <w:sz w:val="20"/>
                <w:szCs w:val="20"/>
              </w:rPr>
            </w:pPr>
          </w:p>
        </w:tc>
        <w:tc>
          <w:tcPr>
            <w:tcW w:w="1290" w:type="dxa"/>
            <w:tcBorders>
              <w:top w:val="single" w:sz="2" w:space="0" w:color="auto"/>
            </w:tcBorders>
          </w:tcPr>
          <w:p w:rsidR="00B44B33" w:rsidRPr="00AE07D8" w:rsidRDefault="00B44B33" w:rsidP="00530CF2">
            <w:pPr>
              <w:jc w:val="right"/>
              <w:rPr>
                <w:rFonts w:ascii="Arial" w:hAnsi="Arial" w:cs="Arial"/>
                <w:b/>
                <w:sz w:val="20"/>
                <w:szCs w:val="20"/>
              </w:rPr>
            </w:pPr>
            <w:r w:rsidRPr="00AE07D8">
              <w:rPr>
                <w:rFonts w:ascii="Arial" w:hAnsi="Arial" w:cs="Arial"/>
                <w:b/>
                <w:sz w:val="20"/>
                <w:szCs w:val="20"/>
              </w:rPr>
              <w:t>(</w:t>
            </w:r>
            <w:r>
              <w:rPr>
                <w:rFonts w:ascii="Arial" w:hAnsi="Arial" w:cs="Arial"/>
                <w:b/>
                <w:sz w:val="20"/>
                <w:szCs w:val="20"/>
              </w:rPr>
              <w:t>7,048</w:t>
            </w:r>
            <w:r w:rsidRPr="00AE07D8">
              <w:rPr>
                <w:rFonts w:ascii="Arial" w:hAnsi="Arial" w:cs="Arial"/>
                <w:b/>
                <w:sz w:val="20"/>
                <w:szCs w:val="20"/>
              </w:rPr>
              <w:t>)</w:t>
            </w:r>
          </w:p>
        </w:tc>
      </w:tr>
      <w:tr w:rsidR="00B44B33" w:rsidRPr="00DD509F" w:rsidTr="00713765">
        <w:trPr>
          <w:trHeight w:hRule="exact" w:val="259"/>
        </w:trPr>
        <w:tc>
          <w:tcPr>
            <w:tcW w:w="7641" w:type="dxa"/>
          </w:tcPr>
          <w:p w:rsidR="00B44B33" w:rsidRPr="00DD509F" w:rsidRDefault="00B44B33" w:rsidP="00530CF2">
            <w:pPr>
              <w:rPr>
                <w:rFonts w:ascii="Arial" w:hAnsi="Arial" w:cs="Arial"/>
                <w:sz w:val="20"/>
                <w:szCs w:val="20"/>
              </w:rPr>
            </w:pPr>
            <w:r w:rsidRPr="00DD509F">
              <w:rPr>
                <w:rFonts w:ascii="Arial" w:hAnsi="Arial" w:cs="Arial"/>
                <w:sz w:val="20"/>
                <w:szCs w:val="20"/>
              </w:rPr>
              <w:t>Profit on disposal of player registrations</w:t>
            </w:r>
          </w:p>
        </w:tc>
        <w:tc>
          <w:tcPr>
            <w:tcW w:w="708" w:type="dxa"/>
          </w:tcPr>
          <w:p w:rsidR="00B44B33" w:rsidRPr="00DD509F" w:rsidRDefault="00B44B33" w:rsidP="00530CF2">
            <w:pPr>
              <w:jc w:val="center"/>
              <w:rPr>
                <w:rFonts w:ascii="Arial" w:hAnsi="Arial" w:cs="Arial"/>
                <w:sz w:val="20"/>
                <w:szCs w:val="20"/>
              </w:rPr>
            </w:pPr>
          </w:p>
        </w:tc>
        <w:tc>
          <w:tcPr>
            <w:tcW w:w="1290" w:type="dxa"/>
            <w:tcBorders>
              <w:bottom w:val="single" w:sz="2" w:space="0" w:color="auto"/>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62</w:t>
            </w:r>
          </w:p>
        </w:tc>
      </w:tr>
      <w:tr w:rsidR="00B44B33" w:rsidRPr="00DD509F" w:rsidTr="00713765">
        <w:trPr>
          <w:trHeight w:hRule="exact" w:val="307"/>
        </w:trPr>
        <w:tc>
          <w:tcPr>
            <w:tcW w:w="7641" w:type="dxa"/>
          </w:tcPr>
          <w:p w:rsidR="00B44B33" w:rsidRPr="00DD509F" w:rsidRDefault="00B44B33" w:rsidP="00530CF2">
            <w:pPr>
              <w:rPr>
                <w:rFonts w:ascii="Arial" w:hAnsi="Arial" w:cs="Arial"/>
                <w:sz w:val="20"/>
                <w:szCs w:val="20"/>
              </w:rPr>
            </w:pPr>
            <w:r w:rsidRPr="00DD509F">
              <w:rPr>
                <w:rFonts w:ascii="Arial" w:hAnsi="Arial" w:cs="Arial"/>
                <w:sz w:val="20"/>
                <w:szCs w:val="20"/>
              </w:rPr>
              <w:t>Non-recurring items</w:t>
            </w:r>
          </w:p>
        </w:tc>
        <w:tc>
          <w:tcPr>
            <w:tcW w:w="708" w:type="dxa"/>
            <w:tcBorders>
              <w:right w:val="single" w:sz="2" w:space="0" w:color="auto"/>
            </w:tcBorders>
          </w:tcPr>
          <w:p w:rsidR="00B44B33" w:rsidRPr="00DD509F" w:rsidRDefault="00B44B33" w:rsidP="00530CF2">
            <w:pPr>
              <w:jc w:val="center"/>
              <w:rPr>
                <w:rFonts w:ascii="Arial" w:hAnsi="Arial" w:cs="Arial"/>
                <w:sz w:val="20"/>
                <w:szCs w:val="20"/>
              </w:rPr>
            </w:pPr>
          </w:p>
        </w:tc>
        <w:tc>
          <w:tcPr>
            <w:tcW w:w="1290" w:type="dxa"/>
            <w:tcBorders>
              <w:top w:val="single" w:sz="2" w:space="0" w:color="auto"/>
              <w:left w:val="single" w:sz="2" w:space="0" w:color="auto"/>
              <w:right w:val="single" w:sz="2" w:space="0" w:color="auto"/>
            </w:tcBorders>
          </w:tcPr>
          <w:p w:rsidR="00B44B33" w:rsidRPr="00DD509F" w:rsidRDefault="00B44B33" w:rsidP="00530CF2">
            <w:pPr>
              <w:jc w:val="right"/>
              <w:rPr>
                <w:rFonts w:ascii="Arial" w:hAnsi="Arial" w:cs="Arial"/>
                <w:sz w:val="20"/>
                <w:szCs w:val="20"/>
              </w:rPr>
            </w:pPr>
          </w:p>
        </w:tc>
      </w:tr>
      <w:tr w:rsidR="00B44B33" w:rsidRPr="00DD509F" w:rsidTr="00713765">
        <w:trPr>
          <w:trHeight w:hRule="exact" w:val="312"/>
        </w:trPr>
        <w:tc>
          <w:tcPr>
            <w:tcW w:w="7641" w:type="dxa"/>
          </w:tcPr>
          <w:p w:rsidR="00B44B33" w:rsidRPr="00DD509F" w:rsidRDefault="00B44B33" w:rsidP="00530CF2">
            <w:pPr>
              <w:rPr>
                <w:rFonts w:ascii="Arial" w:hAnsi="Arial" w:cs="Arial"/>
                <w:sz w:val="20"/>
                <w:szCs w:val="20"/>
              </w:rPr>
            </w:pPr>
            <w:r>
              <w:rPr>
                <w:rFonts w:ascii="Arial" w:hAnsi="Arial" w:cs="Arial"/>
                <w:sz w:val="20"/>
                <w:szCs w:val="20"/>
              </w:rPr>
              <w:t xml:space="preserve">    - Release of negative goodwill</w:t>
            </w:r>
          </w:p>
        </w:tc>
        <w:tc>
          <w:tcPr>
            <w:tcW w:w="708" w:type="dxa"/>
            <w:tcBorders>
              <w:right w:val="single" w:sz="2" w:space="0" w:color="auto"/>
            </w:tcBorders>
          </w:tcPr>
          <w:p w:rsidR="00B44B33" w:rsidRPr="00DD509F" w:rsidRDefault="00B44B33" w:rsidP="00530CF2">
            <w:pPr>
              <w:jc w:val="center"/>
              <w:rPr>
                <w:rFonts w:ascii="Arial" w:hAnsi="Arial" w:cs="Arial"/>
                <w:sz w:val="20"/>
                <w:szCs w:val="20"/>
              </w:rPr>
            </w:pPr>
            <w:r>
              <w:rPr>
                <w:rFonts w:ascii="Arial" w:hAnsi="Arial" w:cs="Arial"/>
                <w:sz w:val="20"/>
                <w:szCs w:val="20"/>
              </w:rPr>
              <w:t>4</w:t>
            </w:r>
          </w:p>
        </w:tc>
        <w:tc>
          <w:tcPr>
            <w:tcW w:w="1290" w:type="dxa"/>
            <w:tcBorders>
              <w:left w:val="single" w:sz="2" w:space="0" w:color="auto"/>
              <w:right w:val="single" w:sz="2" w:space="0" w:color="auto"/>
            </w:tcBorders>
          </w:tcPr>
          <w:p w:rsidR="00B44B33" w:rsidRPr="00DD509F" w:rsidRDefault="00B44B33" w:rsidP="00530CF2">
            <w:pPr>
              <w:jc w:val="right"/>
              <w:rPr>
                <w:rFonts w:ascii="Arial" w:hAnsi="Arial" w:cs="Arial"/>
                <w:sz w:val="20"/>
                <w:szCs w:val="20"/>
              </w:rPr>
            </w:pPr>
            <w:r>
              <w:rPr>
                <w:rFonts w:ascii="Arial" w:hAnsi="Arial" w:cs="Arial"/>
                <w:sz w:val="20"/>
                <w:szCs w:val="20"/>
              </w:rPr>
              <w:t>20,465</w:t>
            </w:r>
          </w:p>
        </w:tc>
      </w:tr>
      <w:tr w:rsidR="00B44B33" w:rsidRPr="00DD509F" w:rsidTr="00713765">
        <w:trPr>
          <w:trHeight w:hRule="exact" w:val="312"/>
        </w:trPr>
        <w:tc>
          <w:tcPr>
            <w:tcW w:w="7641" w:type="dxa"/>
          </w:tcPr>
          <w:p w:rsidR="00B44B33" w:rsidRPr="00DD509F" w:rsidRDefault="00B44B33" w:rsidP="00530CF2">
            <w:pPr>
              <w:rPr>
                <w:rFonts w:ascii="Arial" w:hAnsi="Arial" w:cs="Arial"/>
                <w:sz w:val="20"/>
                <w:szCs w:val="20"/>
              </w:rPr>
            </w:pPr>
            <w:r>
              <w:rPr>
                <w:rFonts w:ascii="Arial" w:hAnsi="Arial" w:cs="Arial"/>
                <w:sz w:val="20"/>
                <w:szCs w:val="20"/>
              </w:rPr>
              <w:t xml:space="preserve">    - Other</w:t>
            </w:r>
          </w:p>
        </w:tc>
        <w:tc>
          <w:tcPr>
            <w:tcW w:w="708" w:type="dxa"/>
            <w:tcBorders>
              <w:right w:val="single" w:sz="2" w:space="0" w:color="auto"/>
            </w:tcBorders>
          </w:tcPr>
          <w:p w:rsidR="00B44B33" w:rsidRPr="00DD509F" w:rsidRDefault="00B44B33" w:rsidP="00530CF2">
            <w:pPr>
              <w:jc w:val="center"/>
              <w:rPr>
                <w:rFonts w:ascii="Arial" w:hAnsi="Arial" w:cs="Arial"/>
                <w:sz w:val="20"/>
                <w:szCs w:val="20"/>
              </w:rPr>
            </w:pPr>
            <w:r>
              <w:rPr>
                <w:rFonts w:ascii="Arial" w:hAnsi="Arial" w:cs="Arial"/>
                <w:sz w:val="20"/>
                <w:szCs w:val="20"/>
              </w:rPr>
              <w:t>4</w:t>
            </w:r>
          </w:p>
        </w:tc>
        <w:tc>
          <w:tcPr>
            <w:tcW w:w="1290" w:type="dxa"/>
            <w:tcBorders>
              <w:left w:val="single" w:sz="2" w:space="0" w:color="auto"/>
              <w:bottom w:val="single" w:sz="2" w:space="0" w:color="auto"/>
              <w:right w:val="single" w:sz="2" w:space="0" w:color="auto"/>
            </w:tcBorders>
          </w:tcPr>
          <w:p w:rsidR="00B44B33" w:rsidRPr="00DD509F" w:rsidRDefault="00B44B33" w:rsidP="00530CF2">
            <w:pPr>
              <w:jc w:val="right"/>
              <w:rPr>
                <w:rFonts w:ascii="Arial" w:hAnsi="Arial" w:cs="Arial"/>
                <w:sz w:val="20"/>
                <w:szCs w:val="20"/>
              </w:rPr>
            </w:pPr>
            <w:r>
              <w:rPr>
                <w:rFonts w:ascii="Arial" w:hAnsi="Arial" w:cs="Arial"/>
                <w:sz w:val="20"/>
                <w:szCs w:val="20"/>
              </w:rPr>
              <w:t>(3,725)</w:t>
            </w:r>
          </w:p>
        </w:tc>
      </w:tr>
      <w:tr w:rsidR="00B44B33" w:rsidRPr="00DD509F" w:rsidTr="00596536">
        <w:trPr>
          <w:trHeight w:hRule="exact" w:val="312"/>
        </w:trPr>
        <w:tc>
          <w:tcPr>
            <w:tcW w:w="7641" w:type="dxa"/>
          </w:tcPr>
          <w:p w:rsidR="00B44B33" w:rsidRPr="00DD509F" w:rsidRDefault="00B44B33" w:rsidP="00530CF2">
            <w:pPr>
              <w:rPr>
                <w:rFonts w:ascii="Arial" w:hAnsi="Arial" w:cs="Arial"/>
                <w:sz w:val="20"/>
                <w:szCs w:val="20"/>
              </w:rPr>
            </w:pPr>
            <w:r>
              <w:rPr>
                <w:rFonts w:ascii="Arial" w:hAnsi="Arial" w:cs="Arial"/>
                <w:sz w:val="20"/>
                <w:szCs w:val="20"/>
              </w:rPr>
              <w:t>Total non-recurring items</w:t>
            </w:r>
          </w:p>
        </w:tc>
        <w:tc>
          <w:tcPr>
            <w:tcW w:w="708" w:type="dxa"/>
          </w:tcPr>
          <w:p w:rsidR="00B44B33" w:rsidRPr="00DD509F" w:rsidRDefault="00B44B33" w:rsidP="00530CF2">
            <w:pPr>
              <w:jc w:val="center"/>
              <w:rPr>
                <w:rFonts w:ascii="Arial" w:hAnsi="Arial" w:cs="Arial"/>
                <w:sz w:val="20"/>
                <w:szCs w:val="20"/>
              </w:rPr>
            </w:pPr>
          </w:p>
        </w:tc>
        <w:tc>
          <w:tcPr>
            <w:tcW w:w="1290" w:type="dxa"/>
          </w:tcPr>
          <w:p w:rsidR="00B44B33" w:rsidRPr="00DD509F" w:rsidRDefault="00B44B33" w:rsidP="00530CF2">
            <w:pPr>
              <w:jc w:val="right"/>
              <w:rPr>
                <w:rFonts w:ascii="Arial" w:hAnsi="Arial" w:cs="Arial"/>
                <w:sz w:val="20"/>
                <w:szCs w:val="20"/>
              </w:rPr>
            </w:pPr>
            <w:r>
              <w:rPr>
                <w:rFonts w:ascii="Arial" w:hAnsi="Arial" w:cs="Arial"/>
                <w:sz w:val="20"/>
                <w:szCs w:val="20"/>
              </w:rPr>
              <w:t>16,740</w:t>
            </w:r>
          </w:p>
        </w:tc>
      </w:tr>
      <w:tr w:rsidR="00B44B33" w:rsidRPr="00DD509F" w:rsidTr="00596536">
        <w:trPr>
          <w:trHeight w:hRule="exact" w:val="307"/>
        </w:trPr>
        <w:tc>
          <w:tcPr>
            <w:tcW w:w="7641" w:type="dxa"/>
          </w:tcPr>
          <w:p w:rsidR="00B44B33" w:rsidRPr="00DD509F" w:rsidRDefault="00B44B33" w:rsidP="00530CF2">
            <w:pPr>
              <w:rPr>
                <w:rFonts w:ascii="Arial" w:hAnsi="Arial" w:cs="Arial"/>
                <w:sz w:val="20"/>
                <w:szCs w:val="20"/>
              </w:rPr>
            </w:pPr>
            <w:r w:rsidRPr="00DD509F">
              <w:rPr>
                <w:rFonts w:ascii="Arial" w:hAnsi="Arial" w:cs="Arial"/>
                <w:sz w:val="20"/>
                <w:szCs w:val="20"/>
              </w:rPr>
              <w:t>Finance costs</w:t>
            </w:r>
          </w:p>
        </w:tc>
        <w:tc>
          <w:tcPr>
            <w:tcW w:w="708" w:type="dxa"/>
          </w:tcPr>
          <w:p w:rsidR="00B44B33" w:rsidRPr="00DD509F" w:rsidRDefault="00B44B33" w:rsidP="00530CF2">
            <w:pPr>
              <w:jc w:val="center"/>
              <w:rPr>
                <w:rFonts w:ascii="Arial" w:hAnsi="Arial" w:cs="Arial"/>
                <w:sz w:val="20"/>
                <w:szCs w:val="20"/>
              </w:rPr>
            </w:pPr>
          </w:p>
        </w:tc>
        <w:tc>
          <w:tcPr>
            <w:tcW w:w="1290" w:type="dxa"/>
            <w:tcBorders>
              <w:bottom w:val="single" w:sz="2" w:space="0" w:color="auto"/>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(234)</w:t>
            </w:r>
          </w:p>
        </w:tc>
      </w:tr>
      <w:tr w:rsidR="00B44B33" w:rsidRPr="00713765" w:rsidTr="00596536">
        <w:trPr>
          <w:trHeight w:hRule="exact" w:val="312"/>
        </w:trPr>
        <w:tc>
          <w:tcPr>
            <w:tcW w:w="7641" w:type="dxa"/>
          </w:tcPr>
          <w:p w:rsidR="00B44B33" w:rsidRPr="00AE07D8" w:rsidRDefault="00B44B33" w:rsidP="00530CF2">
            <w:pPr>
              <w:rPr>
                <w:rFonts w:ascii="Arial" w:hAnsi="Arial" w:cs="Arial"/>
                <w:b/>
                <w:sz w:val="20"/>
                <w:szCs w:val="20"/>
              </w:rPr>
            </w:pPr>
            <w:r w:rsidRPr="00AE07D8">
              <w:rPr>
                <w:rFonts w:ascii="Arial" w:hAnsi="Arial" w:cs="Arial"/>
                <w:b/>
                <w:sz w:val="20"/>
                <w:szCs w:val="20"/>
              </w:rPr>
              <w:t>Profit on ordinary activities before taxation</w:t>
            </w:r>
          </w:p>
        </w:tc>
        <w:tc>
          <w:tcPr>
            <w:tcW w:w="708" w:type="dxa"/>
          </w:tcPr>
          <w:p w:rsidR="00B44B33" w:rsidRPr="00AE07D8" w:rsidRDefault="00B44B33" w:rsidP="00530CF2">
            <w:pPr>
              <w:jc w:val="center"/>
              <w:rPr>
                <w:rFonts w:ascii="Arial" w:hAnsi="Arial" w:cs="Arial"/>
                <w:b/>
                <w:sz w:val="20"/>
                <w:szCs w:val="20"/>
              </w:rPr>
            </w:pPr>
          </w:p>
        </w:tc>
        <w:tc>
          <w:tcPr>
            <w:tcW w:w="1290" w:type="dxa"/>
            <w:tcBorders>
              <w:top w:val="single" w:sz="2" w:space="0" w:color="auto"/>
            </w:tcBorders>
          </w:tcPr>
          <w:p w:rsidR="00B44B33" w:rsidRPr="00AE07D8" w:rsidRDefault="00B44B33" w:rsidP="00530CF2">
            <w:pPr>
              <w:jc w:val="right"/>
              <w:rPr>
                <w:rFonts w:ascii="Arial" w:hAnsi="Arial" w:cs="Arial"/>
                <w:b/>
                <w:sz w:val="20"/>
                <w:szCs w:val="20"/>
              </w:rPr>
            </w:pPr>
            <w:r w:rsidRPr="00AE07D8">
              <w:rPr>
                <w:rFonts w:ascii="Arial" w:hAnsi="Arial" w:cs="Arial"/>
                <w:b/>
                <w:sz w:val="20"/>
                <w:szCs w:val="20"/>
              </w:rPr>
              <w:t>9,520</w:t>
            </w:r>
          </w:p>
        </w:tc>
      </w:tr>
      <w:tr w:rsidR="00B44B33" w:rsidRPr="00DD509F" w:rsidTr="00596536">
        <w:trPr>
          <w:trHeight w:hRule="exact" w:val="307"/>
        </w:trPr>
        <w:tc>
          <w:tcPr>
            <w:tcW w:w="7641" w:type="dxa"/>
          </w:tcPr>
          <w:p w:rsidR="00B44B33" w:rsidRPr="00DD509F" w:rsidRDefault="00B44B33" w:rsidP="00530CF2">
            <w:pPr>
              <w:rPr>
                <w:rFonts w:ascii="Arial" w:hAnsi="Arial" w:cs="Arial"/>
                <w:sz w:val="20"/>
                <w:szCs w:val="20"/>
              </w:rPr>
            </w:pPr>
            <w:r w:rsidRPr="00DD509F">
              <w:rPr>
                <w:rFonts w:ascii="Arial" w:hAnsi="Arial" w:cs="Arial"/>
                <w:sz w:val="20"/>
                <w:szCs w:val="20"/>
              </w:rPr>
              <w:t>Taxation</w:t>
            </w:r>
          </w:p>
        </w:tc>
        <w:tc>
          <w:tcPr>
            <w:tcW w:w="708" w:type="dxa"/>
          </w:tcPr>
          <w:p w:rsidR="00B44B33" w:rsidRPr="00DD509F" w:rsidRDefault="00B44B33" w:rsidP="00530CF2">
            <w:pPr>
              <w:jc w:val="center"/>
              <w:rPr>
                <w:rFonts w:ascii="Arial" w:hAnsi="Arial" w:cs="Arial"/>
                <w:sz w:val="20"/>
                <w:szCs w:val="20"/>
              </w:rPr>
            </w:pPr>
          </w:p>
        </w:tc>
        <w:tc>
          <w:tcPr>
            <w:tcW w:w="1290" w:type="dxa"/>
            <w:tcBorders>
              <w:bottom w:val="single" w:sz="2" w:space="0" w:color="auto"/>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w:t>
            </w:r>
          </w:p>
        </w:tc>
      </w:tr>
      <w:tr w:rsidR="00B44B33" w:rsidRPr="00713765" w:rsidTr="00596536">
        <w:trPr>
          <w:trHeight w:hRule="exact" w:val="394"/>
        </w:trPr>
        <w:tc>
          <w:tcPr>
            <w:tcW w:w="7641" w:type="dxa"/>
          </w:tcPr>
          <w:p w:rsidR="00B44B33" w:rsidRPr="00AE07D8" w:rsidRDefault="00B44B33" w:rsidP="00530CF2">
            <w:pPr>
              <w:rPr>
                <w:rFonts w:ascii="Arial" w:hAnsi="Arial" w:cs="Arial"/>
                <w:b/>
                <w:sz w:val="20"/>
                <w:szCs w:val="20"/>
              </w:rPr>
            </w:pPr>
            <w:r w:rsidRPr="00AE07D8">
              <w:rPr>
                <w:rFonts w:ascii="Arial" w:hAnsi="Arial" w:cs="Arial"/>
                <w:b/>
                <w:sz w:val="20"/>
                <w:szCs w:val="20"/>
              </w:rPr>
              <w:t>Profit for the period</w:t>
            </w:r>
          </w:p>
        </w:tc>
        <w:tc>
          <w:tcPr>
            <w:tcW w:w="708" w:type="dxa"/>
          </w:tcPr>
          <w:p w:rsidR="00B44B33" w:rsidRPr="00AE07D8" w:rsidRDefault="00B44B33" w:rsidP="00530CF2">
            <w:pPr>
              <w:jc w:val="center"/>
              <w:rPr>
                <w:rFonts w:ascii="Arial" w:hAnsi="Arial" w:cs="Arial"/>
                <w:b/>
                <w:sz w:val="20"/>
                <w:szCs w:val="20"/>
              </w:rPr>
            </w:pPr>
          </w:p>
        </w:tc>
        <w:tc>
          <w:tcPr>
            <w:tcW w:w="1290" w:type="dxa"/>
            <w:tcBorders>
              <w:top w:val="single" w:sz="2" w:space="0" w:color="auto"/>
              <w:bottom w:val="single" w:sz="2" w:space="0" w:color="auto"/>
            </w:tcBorders>
          </w:tcPr>
          <w:p w:rsidR="00B44B33" w:rsidRPr="00AE07D8" w:rsidRDefault="00B44B33" w:rsidP="00530CF2">
            <w:pPr>
              <w:jc w:val="right"/>
              <w:rPr>
                <w:rFonts w:ascii="Arial" w:hAnsi="Arial" w:cs="Arial"/>
                <w:b/>
                <w:sz w:val="20"/>
                <w:szCs w:val="20"/>
              </w:rPr>
            </w:pPr>
            <w:r w:rsidRPr="00AE07D8">
              <w:rPr>
                <w:rFonts w:ascii="Arial" w:hAnsi="Arial" w:cs="Arial"/>
                <w:b/>
                <w:sz w:val="20"/>
                <w:szCs w:val="20"/>
              </w:rPr>
              <w:t>9,520</w:t>
            </w:r>
          </w:p>
        </w:tc>
      </w:tr>
      <w:tr w:rsidR="00B44B33" w:rsidRPr="00DD509F" w:rsidTr="00596536">
        <w:trPr>
          <w:trHeight w:hRule="exact" w:val="394"/>
        </w:trPr>
        <w:tc>
          <w:tcPr>
            <w:tcW w:w="7641" w:type="dxa"/>
          </w:tcPr>
          <w:p w:rsidR="00B44B33" w:rsidRPr="00DD509F" w:rsidRDefault="00B44B33" w:rsidP="00530CF2">
            <w:pPr>
              <w:rPr>
                <w:rFonts w:ascii="Arial" w:hAnsi="Arial" w:cs="Arial"/>
                <w:sz w:val="20"/>
                <w:szCs w:val="20"/>
              </w:rPr>
            </w:pPr>
            <w:r w:rsidRPr="00DD509F">
              <w:rPr>
                <w:rFonts w:ascii="Arial" w:hAnsi="Arial" w:cs="Arial"/>
                <w:sz w:val="20"/>
                <w:szCs w:val="20"/>
              </w:rPr>
              <w:t>Attributable to:</w:t>
            </w:r>
          </w:p>
          <w:p w:rsidR="00B44B33" w:rsidRPr="00DD509F" w:rsidRDefault="00B44B33" w:rsidP="00530CF2">
            <w:pPr>
              <w:rPr>
                <w:rFonts w:ascii="Arial" w:hAnsi="Arial" w:cs="Arial"/>
                <w:sz w:val="20"/>
                <w:szCs w:val="20"/>
              </w:rPr>
            </w:pPr>
          </w:p>
          <w:p w:rsidR="00B44B33" w:rsidRPr="00DD509F" w:rsidRDefault="00B44B33" w:rsidP="00530CF2">
            <w:pPr>
              <w:rPr>
                <w:rFonts w:ascii="Arial" w:hAnsi="Arial" w:cs="Arial"/>
                <w:sz w:val="20"/>
                <w:szCs w:val="20"/>
              </w:rPr>
            </w:pPr>
          </w:p>
          <w:p w:rsidR="00B44B33" w:rsidRPr="00DD509F" w:rsidRDefault="00B44B33" w:rsidP="00530CF2">
            <w:pPr>
              <w:rPr>
                <w:rFonts w:ascii="Arial" w:hAnsi="Arial" w:cs="Arial"/>
                <w:sz w:val="20"/>
                <w:szCs w:val="20"/>
              </w:rPr>
            </w:pPr>
          </w:p>
          <w:p w:rsidR="00B44B33" w:rsidRPr="00DD509F" w:rsidRDefault="00B44B33" w:rsidP="00530CF2">
            <w:pPr>
              <w:rPr>
                <w:rFonts w:ascii="Arial" w:hAnsi="Arial" w:cs="Arial"/>
                <w:sz w:val="20"/>
                <w:szCs w:val="20"/>
              </w:rPr>
            </w:pPr>
          </w:p>
        </w:tc>
        <w:tc>
          <w:tcPr>
            <w:tcW w:w="708" w:type="dxa"/>
          </w:tcPr>
          <w:p w:rsidR="00B44B33" w:rsidRPr="00DD509F" w:rsidRDefault="00B44B33" w:rsidP="00530CF2">
            <w:pPr>
              <w:jc w:val="center"/>
              <w:rPr>
                <w:rFonts w:ascii="Arial" w:hAnsi="Arial" w:cs="Arial"/>
                <w:sz w:val="20"/>
                <w:szCs w:val="20"/>
              </w:rPr>
            </w:pPr>
          </w:p>
        </w:tc>
        <w:tc>
          <w:tcPr>
            <w:tcW w:w="1290" w:type="dxa"/>
            <w:tcBorders>
              <w:top w:val="single" w:sz="2" w:space="0" w:color="auto"/>
            </w:tcBorders>
          </w:tcPr>
          <w:p w:rsidR="00B44B33" w:rsidRPr="00DD509F" w:rsidRDefault="00B44B33" w:rsidP="00530CF2">
            <w:pPr>
              <w:jc w:val="right"/>
              <w:rPr>
                <w:rFonts w:ascii="Arial" w:hAnsi="Arial" w:cs="Arial"/>
                <w:sz w:val="20"/>
                <w:szCs w:val="20"/>
              </w:rPr>
            </w:pPr>
          </w:p>
        </w:tc>
      </w:tr>
      <w:tr w:rsidR="00B44B33" w:rsidRPr="00DD509F" w:rsidTr="00596536">
        <w:trPr>
          <w:trHeight w:hRule="exact" w:val="394"/>
        </w:trPr>
        <w:tc>
          <w:tcPr>
            <w:tcW w:w="7641" w:type="dxa"/>
          </w:tcPr>
          <w:p w:rsidR="00B44B33" w:rsidRPr="00DD509F" w:rsidRDefault="00B44B33" w:rsidP="00530CF2">
            <w:pPr>
              <w:rPr>
                <w:rFonts w:ascii="Arial" w:hAnsi="Arial" w:cs="Arial"/>
                <w:sz w:val="20"/>
                <w:szCs w:val="20"/>
              </w:rPr>
            </w:pPr>
            <w:r w:rsidRPr="00DD509F">
              <w:rPr>
                <w:rFonts w:ascii="Arial" w:hAnsi="Arial" w:cs="Arial"/>
                <w:sz w:val="20"/>
                <w:szCs w:val="20"/>
              </w:rPr>
              <w:t>Owners of the Company</w:t>
            </w:r>
          </w:p>
        </w:tc>
        <w:tc>
          <w:tcPr>
            <w:tcW w:w="708" w:type="dxa"/>
          </w:tcPr>
          <w:p w:rsidR="00B44B33" w:rsidRPr="00DD509F" w:rsidRDefault="00B44B33" w:rsidP="00530CF2">
            <w:pPr>
              <w:jc w:val="center"/>
              <w:rPr>
                <w:rFonts w:ascii="Arial" w:hAnsi="Arial" w:cs="Arial"/>
                <w:sz w:val="20"/>
                <w:szCs w:val="20"/>
              </w:rPr>
            </w:pPr>
          </w:p>
        </w:tc>
        <w:tc>
          <w:tcPr>
            <w:tcW w:w="1290" w:type="dxa"/>
          </w:tcPr>
          <w:p w:rsidR="00B44B33" w:rsidRPr="00DD509F" w:rsidRDefault="00B44B33" w:rsidP="00530CF2">
            <w:pPr>
              <w:jc w:val="right"/>
              <w:rPr>
                <w:rFonts w:ascii="Arial" w:hAnsi="Arial" w:cs="Arial"/>
                <w:sz w:val="20"/>
                <w:szCs w:val="20"/>
              </w:rPr>
            </w:pPr>
            <w:r w:rsidRPr="00DD509F">
              <w:rPr>
                <w:rFonts w:ascii="Arial" w:hAnsi="Arial" w:cs="Arial"/>
                <w:sz w:val="20"/>
                <w:szCs w:val="20"/>
              </w:rPr>
              <w:t>9,314</w:t>
            </w:r>
          </w:p>
        </w:tc>
      </w:tr>
      <w:tr w:rsidR="00B44B33" w:rsidRPr="00DD509F" w:rsidTr="00596536">
        <w:trPr>
          <w:trHeight w:hRule="exact" w:val="394"/>
        </w:trPr>
        <w:tc>
          <w:tcPr>
            <w:tcW w:w="7641" w:type="dxa"/>
          </w:tcPr>
          <w:p w:rsidR="00B44B33" w:rsidRPr="00DD509F" w:rsidRDefault="00B44B33" w:rsidP="00530CF2">
            <w:pPr>
              <w:rPr>
                <w:rFonts w:ascii="Arial" w:hAnsi="Arial" w:cs="Arial"/>
                <w:sz w:val="20"/>
                <w:szCs w:val="20"/>
              </w:rPr>
            </w:pPr>
            <w:r w:rsidRPr="00DD509F">
              <w:rPr>
                <w:rFonts w:ascii="Arial" w:hAnsi="Arial" w:cs="Arial"/>
                <w:sz w:val="20"/>
                <w:szCs w:val="20"/>
              </w:rPr>
              <w:t xml:space="preserve">Non-controlling interests </w:t>
            </w:r>
          </w:p>
        </w:tc>
        <w:tc>
          <w:tcPr>
            <w:tcW w:w="708" w:type="dxa"/>
          </w:tcPr>
          <w:p w:rsidR="00B44B33" w:rsidRPr="00DD509F" w:rsidRDefault="00B44B33" w:rsidP="00530CF2">
            <w:pPr>
              <w:jc w:val="center"/>
              <w:rPr>
                <w:rFonts w:ascii="Arial" w:hAnsi="Arial" w:cs="Arial"/>
                <w:sz w:val="20"/>
                <w:szCs w:val="20"/>
              </w:rPr>
            </w:pPr>
          </w:p>
        </w:tc>
        <w:tc>
          <w:tcPr>
            <w:tcW w:w="1290" w:type="dxa"/>
            <w:tcBorders>
              <w:bottom w:val="single" w:sz="2" w:space="0" w:color="auto"/>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206</w:t>
            </w:r>
          </w:p>
        </w:tc>
      </w:tr>
      <w:tr w:rsidR="00B44B33" w:rsidRPr="00596536" w:rsidTr="00596536">
        <w:trPr>
          <w:trHeight w:hRule="exact" w:val="394"/>
        </w:trPr>
        <w:tc>
          <w:tcPr>
            <w:tcW w:w="7641" w:type="dxa"/>
          </w:tcPr>
          <w:p w:rsidR="00B44B33" w:rsidRPr="00DD509F" w:rsidRDefault="00B44B33" w:rsidP="00530CF2">
            <w:pPr>
              <w:rPr>
                <w:rFonts w:ascii="Arial" w:hAnsi="Arial" w:cs="Arial"/>
                <w:sz w:val="20"/>
                <w:szCs w:val="20"/>
              </w:rPr>
            </w:pPr>
          </w:p>
        </w:tc>
        <w:tc>
          <w:tcPr>
            <w:tcW w:w="708" w:type="dxa"/>
          </w:tcPr>
          <w:p w:rsidR="00B44B33" w:rsidRPr="00DD509F" w:rsidRDefault="00B44B33" w:rsidP="00530CF2">
            <w:pPr>
              <w:jc w:val="center"/>
              <w:rPr>
                <w:rFonts w:ascii="Arial" w:hAnsi="Arial" w:cs="Arial"/>
                <w:sz w:val="20"/>
                <w:szCs w:val="20"/>
              </w:rPr>
            </w:pPr>
          </w:p>
        </w:tc>
        <w:tc>
          <w:tcPr>
            <w:tcW w:w="1290" w:type="dxa"/>
            <w:tcBorders>
              <w:top w:val="single" w:sz="2" w:space="0" w:color="auto"/>
              <w:bottom w:val="single" w:sz="2" w:space="0" w:color="auto"/>
            </w:tcBorders>
          </w:tcPr>
          <w:p w:rsidR="00B44B33" w:rsidRPr="00D77437" w:rsidRDefault="00B44B33" w:rsidP="00530CF2">
            <w:pPr>
              <w:jc w:val="right"/>
              <w:rPr>
                <w:rFonts w:ascii="Arial" w:hAnsi="Arial" w:cs="Arial"/>
                <w:b/>
                <w:sz w:val="20"/>
                <w:szCs w:val="20"/>
              </w:rPr>
            </w:pPr>
            <w:r w:rsidRPr="00D77437">
              <w:rPr>
                <w:rFonts w:ascii="Arial" w:hAnsi="Arial" w:cs="Arial"/>
                <w:b/>
                <w:sz w:val="20"/>
                <w:szCs w:val="20"/>
              </w:rPr>
              <w:t>9,520</w:t>
            </w:r>
          </w:p>
        </w:tc>
      </w:tr>
      <w:tr w:rsidR="00B44B33" w:rsidRPr="00DD509F" w:rsidTr="00596536">
        <w:trPr>
          <w:trHeight w:hRule="exact" w:val="322"/>
        </w:trPr>
        <w:tc>
          <w:tcPr>
            <w:tcW w:w="7641" w:type="dxa"/>
          </w:tcPr>
          <w:p w:rsidR="00B44B33" w:rsidRPr="00DD509F" w:rsidRDefault="00B44B33" w:rsidP="00530CF2">
            <w:pPr>
              <w:rPr>
                <w:rFonts w:ascii="Arial" w:hAnsi="Arial" w:cs="Arial"/>
                <w:sz w:val="20"/>
                <w:szCs w:val="20"/>
              </w:rPr>
            </w:pPr>
            <w:r w:rsidRPr="00DD509F">
              <w:rPr>
                <w:rFonts w:ascii="Arial" w:hAnsi="Arial" w:cs="Arial"/>
                <w:sz w:val="20"/>
                <w:szCs w:val="20"/>
              </w:rPr>
              <w:t>Basic earnings per ordinary share</w:t>
            </w:r>
          </w:p>
        </w:tc>
        <w:tc>
          <w:tcPr>
            <w:tcW w:w="708" w:type="dxa"/>
          </w:tcPr>
          <w:p w:rsidR="00B44B33" w:rsidRPr="00DD509F" w:rsidRDefault="00B44B33" w:rsidP="00530CF2">
            <w:pPr>
              <w:jc w:val="center"/>
              <w:rPr>
                <w:rFonts w:ascii="Arial" w:hAnsi="Arial" w:cs="Arial"/>
                <w:sz w:val="20"/>
                <w:szCs w:val="20"/>
              </w:rPr>
            </w:pPr>
            <w:r w:rsidRPr="00DD509F">
              <w:rPr>
                <w:rFonts w:ascii="Arial" w:hAnsi="Arial" w:cs="Arial"/>
                <w:sz w:val="20"/>
                <w:szCs w:val="20"/>
              </w:rPr>
              <w:t>5</w:t>
            </w:r>
          </w:p>
        </w:tc>
        <w:tc>
          <w:tcPr>
            <w:tcW w:w="1290" w:type="dxa"/>
            <w:tcBorders>
              <w:top w:val="single" w:sz="2" w:space="0" w:color="auto"/>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3</w:t>
            </w:r>
            <w:r>
              <w:rPr>
                <w:rFonts w:ascii="Arial" w:hAnsi="Arial" w:cs="Arial"/>
                <w:sz w:val="20"/>
                <w:szCs w:val="20"/>
              </w:rPr>
              <w:t>1.8</w:t>
            </w:r>
            <w:r w:rsidRPr="00DD509F">
              <w:rPr>
                <w:rFonts w:ascii="Arial" w:hAnsi="Arial" w:cs="Arial"/>
                <w:sz w:val="20"/>
                <w:szCs w:val="20"/>
              </w:rPr>
              <w:t>p</w:t>
            </w:r>
          </w:p>
        </w:tc>
      </w:tr>
    </w:tbl>
    <w:p w:rsidR="00B44B33" w:rsidRPr="00DD509F" w:rsidRDefault="00B44B33" w:rsidP="00196068">
      <w:pPr>
        <w:ind w:left="8208"/>
        <w:rPr>
          <w:rFonts w:ascii="Arial" w:hAnsi="Arial" w:cs="Arial"/>
          <w:sz w:val="20"/>
          <w:szCs w:val="20"/>
        </w:rPr>
      </w:pPr>
    </w:p>
    <w:p w:rsidR="00B44B33" w:rsidRPr="00DD509F" w:rsidRDefault="00B44B33" w:rsidP="00196068">
      <w:pPr>
        <w:ind w:left="8208"/>
        <w:rPr>
          <w:rFonts w:ascii="Arial" w:hAnsi="Arial" w:cs="Arial"/>
          <w:sz w:val="20"/>
          <w:szCs w:val="20"/>
        </w:rPr>
        <w:sectPr w:rsidR="00B44B33" w:rsidRPr="00DD509F" w:rsidSect="000C61D6">
          <w:pgSz w:w="11904" w:h="16843"/>
          <w:pgMar w:top="1440" w:right="1440" w:bottom="1440" w:left="1440" w:header="720" w:footer="720" w:gutter="0"/>
          <w:cols w:space="720"/>
          <w:noEndnote/>
          <w:docGrid w:linePitch="326"/>
        </w:sectPr>
      </w:pPr>
    </w:p>
    <w:tbl>
      <w:tblPr>
        <w:tblW w:w="9639" w:type="dxa"/>
        <w:jc w:val="center"/>
        <w:tblLayout w:type="fixed"/>
        <w:tblCellMar>
          <w:left w:w="0" w:type="dxa"/>
          <w:right w:w="0" w:type="dxa"/>
        </w:tblCellMar>
        <w:tblLook w:val="0000" w:firstRow="0" w:lastRow="0" w:firstColumn="0" w:lastColumn="0" w:noHBand="0" w:noVBand="0"/>
      </w:tblPr>
      <w:tblGrid>
        <w:gridCol w:w="7641"/>
        <w:gridCol w:w="708"/>
        <w:gridCol w:w="1290"/>
      </w:tblGrid>
      <w:tr w:rsidR="00B44B33" w:rsidRPr="00DD509F" w:rsidTr="00530CF2">
        <w:trPr>
          <w:trHeight w:hRule="exact" w:val="1988"/>
          <w:jc w:val="center"/>
        </w:trPr>
        <w:tc>
          <w:tcPr>
            <w:tcW w:w="7248" w:type="dxa"/>
            <w:tcBorders>
              <w:top w:val="nil"/>
              <w:left w:val="nil"/>
              <w:bottom w:val="nil"/>
              <w:right w:val="nil"/>
            </w:tcBorders>
          </w:tcPr>
          <w:p w:rsidR="00B44B33" w:rsidRPr="00DD509F" w:rsidRDefault="00B44B33" w:rsidP="00530CF2">
            <w:pPr>
              <w:rPr>
                <w:rFonts w:ascii="Arial" w:hAnsi="Arial" w:cs="Arial"/>
                <w:b/>
                <w:bCs/>
                <w:sz w:val="20"/>
                <w:szCs w:val="20"/>
              </w:rPr>
            </w:pPr>
            <w:r w:rsidRPr="00DD509F">
              <w:rPr>
                <w:rFonts w:ascii="Arial" w:hAnsi="Arial" w:cs="Arial"/>
                <w:b/>
                <w:bCs/>
                <w:sz w:val="20"/>
                <w:szCs w:val="20"/>
              </w:rPr>
              <w:t xml:space="preserve">Condensed consolidated </w:t>
            </w:r>
            <w:r>
              <w:rPr>
                <w:rFonts w:ascii="Arial" w:hAnsi="Arial" w:cs="Arial"/>
                <w:b/>
                <w:bCs/>
                <w:sz w:val="20"/>
                <w:szCs w:val="20"/>
              </w:rPr>
              <w:t>S</w:t>
            </w:r>
            <w:r w:rsidRPr="00DD509F">
              <w:rPr>
                <w:rFonts w:ascii="Arial" w:hAnsi="Arial" w:cs="Arial"/>
                <w:b/>
                <w:bCs/>
                <w:sz w:val="20"/>
                <w:szCs w:val="20"/>
              </w:rPr>
              <w:t xml:space="preserve">tatement of </w:t>
            </w:r>
            <w:r>
              <w:rPr>
                <w:rFonts w:ascii="Arial" w:hAnsi="Arial" w:cs="Arial"/>
                <w:b/>
                <w:bCs/>
                <w:sz w:val="20"/>
                <w:szCs w:val="20"/>
              </w:rPr>
              <w:t>C</w:t>
            </w:r>
            <w:r w:rsidRPr="00DD509F">
              <w:rPr>
                <w:rFonts w:ascii="Arial" w:hAnsi="Arial" w:cs="Arial"/>
                <w:b/>
                <w:bCs/>
                <w:sz w:val="20"/>
                <w:szCs w:val="20"/>
              </w:rPr>
              <w:t xml:space="preserve">omprehensive </w:t>
            </w:r>
            <w:r>
              <w:rPr>
                <w:rFonts w:ascii="Arial" w:hAnsi="Arial" w:cs="Arial"/>
                <w:b/>
                <w:bCs/>
                <w:sz w:val="20"/>
                <w:szCs w:val="20"/>
              </w:rPr>
              <w:t>I</w:t>
            </w:r>
            <w:r w:rsidRPr="00DD509F">
              <w:rPr>
                <w:rFonts w:ascii="Arial" w:hAnsi="Arial" w:cs="Arial"/>
                <w:b/>
                <w:bCs/>
                <w:sz w:val="20"/>
                <w:szCs w:val="20"/>
              </w:rPr>
              <w:t>ncome</w:t>
            </w:r>
          </w:p>
          <w:p w:rsidR="00B44B33" w:rsidRPr="00DD509F" w:rsidRDefault="00B44B33" w:rsidP="00530CF2">
            <w:pPr>
              <w:rPr>
                <w:rFonts w:ascii="Arial" w:hAnsi="Arial" w:cs="Arial"/>
                <w:b/>
                <w:bCs/>
                <w:sz w:val="20"/>
                <w:szCs w:val="20"/>
              </w:rPr>
            </w:pPr>
            <w:r w:rsidRPr="00DD509F">
              <w:rPr>
                <w:rFonts w:ascii="Arial" w:hAnsi="Arial" w:cs="Arial"/>
                <w:b/>
                <w:bCs/>
                <w:sz w:val="20"/>
                <w:szCs w:val="20"/>
              </w:rPr>
              <w:t>For the 7 month period from incorporation to 31 December 2012</w:t>
            </w:r>
          </w:p>
        </w:tc>
        <w:tc>
          <w:tcPr>
            <w:tcW w:w="672" w:type="dxa"/>
            <w:tcBorders>
              <w:top w:val="nil"/>
              <w:left w:val="nil"/>
              <w:bottom w:val="nil"/>
              <w:right w:val="nil"/>
            </w:tcBorders>
          </w:tcPr>
          <w:p w:rsidR="00B44B33" w:rsidRPr="00DD509F" w:rsidRDefault="00B44B33" w:rsidP="00530CF2">
            <w:pPr>
              <w:jc w:val="center"/>
              <w:rPr>
                <w:rFonts w:ascii="Arial" w:hAnsi="Arial" w:cs="Arial"/>
                <w:sz w:val="20"/>
                <w:szCs w:val="20"/>
              </w:rPr>
            </w:pPr>
          </w:p>
        </w:tc>
        <w:tc>
          <w:tcPr>
            <w:tcW w:w="1224" w:type="dxa"/>
            <w:tcBorders>
              <w:top w:val="nil"/>
              <w:left w:val="nil"/>
              <w:bottom w:val="nil"/>
              <w:right w:val="nil"/>
            </w:tcBorders>
          </w:tcPr>
          <w:p w:rsidR="00B44B33" w:rsidRPr="00DD509F" w:rsidRDefault="00B44B33" w:rsidP="00530CF2">
            <w:pPr>
              <w:jc w:val="right"/>
              <w:rPr>
                <w:rFonts w:ascii="Arial" w:hAnsi="Arial" w:cs="Arial"/>
                <w:i/>
                <w:iCs/>
                <w:spacing w:val="4"/>
                <w:sz w:val="20"/>
                <w:szCs w:val="20"/>
              </w:rPr>
            </w:pPr>
            <w:r w:rsidRPr="00DD509F">
              <w:rPr>
                <w:rFonts w:ascii="Arial" w:hAnsi="Arial" w:cs="Arial"/>
                <w:i/>
                <w:iCs/>
                <w:spacing w:val="4"/>
                <w:sz w:val="20"/>
                <w:szCs w:val="20"/>
              </w:rPr>
              <w:t>7 month period</w:t>
            </w:r>
          </w:p>
          <w:p w:rsidR="00B44B33" w:rsidRPr="00DD509F" w:rsidRDefault="00B44B33" w:rsidP="00530CF2">
            <w:pPr>
              <w:jc w:val="right"/>
              <w:rPr>
                <w:rFonts w:ascii="Arial" w:hAnsi="Arial" w:cs="Arial"/>
                <w:i/>
                <w:iCs/>
                <w:spacing w:val="4"/>
                <w:sz w:val="20"/>
                <w:szCs w:val="20"/>
              </w:rPr>
            </w:pPr>
            <w:r w:rsidRPr="00DD509F">
              <w:rPr>
                <w:rFonts w:ascii="Arial" w:hAnsi="Arial" w:cs="Arial"/>
                <w:i/>
                <w:iCs/>
                <w:spacing w:val="4"/>
                <w:sz w:val="20"/>
                <w:szCs w:val="20"/>
              </w:rPr>
              <w:t>to 31 December</w:t>
            </w:r>
          </w:p>
          <w:p w:rsidR="00B44B33" w:rsidRPr="00DD509F" w:rsidRDefault="00B44B33" w:rsidP="00530CF2">
            <w:pPr>
              <w:jc w:val="right"/>
              <w:rPr>
                <w:rFonts w:ascii="Arial" w:hAnsi="Arial" w:cs="Arial"/>
                <w:i/>
                <w:iCs/>
                <w:spacing w:val="4"/>
                <w:sz w:val="20"/>
                <w:szCs w:val="20"/>
              </w:rPr>
            </w:pPr>
            <w:r w:rsidRPr="00DD509F">
              <w:rPr>
                <w:rFonts w:ascii="Arial" w:hAnsi="Arial" w:cs="Arial"/>
                <w:i/>
                <w:iCs/>
                <w:spacing w:val="4"/>
                <w:sz w:val="20"/>
                <w:szCs w:val="20"/>
              </w:rPr>
              <w:t>2012</w:t>
            </w:r>
          </w:p>
        </w:tc>
      </w:tr>
      <w:tr w:rsidR="00B44B33" w:rsidRPr="00DD509F" w:rsidTr="00530CF2">
        <w:trPr>
          <w:trHeight w:hRule="exact" w:val="264"/>
          <w:jc w:val="center"/>
        </w:trPr>
        <w:tc>
          <w:tcPr>
            <w:tcW w:w="7248" w:type="dxa"/>
            <w:tcBorders>
              <w:top w:val="nil"/>
              <w:left w:val="nil"/>
              <w:bottom w:val="nil"/>
              <w:right w:val="nil"/>
            </w:tcBorders>
          </w:tcPr>
          <w:p w:rsidR="00B44B33" w:rsidRPr="00DD509F" w:rsidRDefault="00B44B33" w:rsidP="00530CF2">
            <w:pPr>
              <w:rPr>
                <w:rFonts w:ascii="Arial" w:hAnsi="Arial" w:cs="Arial"/>
                <w:sz w:val="20"/>
                <w:szCs w:val="20"/>
              </w:rPr>
            </w:pPr>
          </w:p>
        </w:tc>
        <w:tc>
          <w:tcPr>
            <w:tcW w:w="672" w:type="dxa"/>
            <w:tcBorders>
              <w:top w:val="nil"/>
              <w:left w:val="nil"/>
              <w:bottom w:val="nil"/>
              <w:right w:val="nil"/>
            </w:tcBorders>
          </w:tcPr>
          <w:p w:rsidR="00B44B33" w:rsidRPr="00DD509F" w:rsidRDefault="00B44B33" w:rsidP="00530CF2">
            <w:pPr>
              <w:jc w:val="center"/>
              <w:rPr>
                <w:rFonts w:ascii="Arial" w:hAnsi="Arial" w:cs="Arial"/>
                <w:i/>
                <w:iCs/>
                <w:spacing w:val="4"/>
                <w:sz w:val="20"/>
                <w:szCs w:val="20"/>
              </w:rPr>
            </w:pPr>
          </w:p>
        </w:tc>
        <w:tc>
          <w:tcPr>
            <w:tcW w:w="1224" w:type="dxa"/>
            <w:tcBorders>
              <w:top w:val="nil"/>
              <w:left w:val="nil"/>
              <w:bottom w:val="nil"/>
              <w:right w:val="nil"/>
            </w:tcBorders>
          </w:tcPr>
          <w:p w:rsidR="00B44B33" w:rsidRPr="00DD509F" w:rsidRDefault="00B44B33" w:rsidP="00530CF2">
            <w:pPr>
              <w:jc w:val="right"/>
              <w:rPr>
                <w:rFonts w:ascii="Arial" w:hAnsi="Arial" w:cs="Arial"/>
                <w:i/>
                <w:iCs/>
                <w:spacing w:val="4"/>
                <w:sz w:val="20"/>
                <w:szCs w:val="20"/>
              </w:rPr>
            </w:pPr>
            <w:r w:rsidRPr="00DD509F">
              <w:rPr>
                <w:rFonts w:ascii="Arial" w:hAnsi="Arial" w:cs="Arial"/>
                <w:i/>
                <w:iCs/>
                <w:spacing w:val="4"/>
                <w:sz w:val="20"/>
                <w:szCs w:val="20"/>
              </w:rPr>
              <w:t>£’000</w:t>
            </w:r>
          </w:p>
        </w:tc>
      </w:tr>
      <w:tr w:rsidR="00B44B33" w:rsidRPr="00DD509F" w:rsidTr="000C61D6">
        <w:trPr>
          <w:trHeight w:hRule="exact" w:val="290"/>
          <w:jc w:val="center"/>
        </w:trPr>
        <w:tc>
          <w:tcPr>
            <w:tcW w:w="7248" w:type="dxa"/>
            <w:tcBorders>
              <w:top w:val="nil"/>
              <w:left w:val="nil"/>
              <w:bottom w:val="nil"/>
              <w:right w:val="nil"/>
            </w:tcBorders>
          </w:tcPr>
          <w:p w:rsidR="00B44B33" w:rsidRPr="00DD509F" w:rsidRDefault="00B44B33" w:rsidP="00530CF2">
            <w:pPr>
              <w:rPr>
                <w:rFonts w:ascii="Arial" w:hAnsi="Arial" w:cs="Arial"/>
                <w:sz w:val="20"/>
                <w:szCs w:val="20"/>
              </w:rPr>
            </w:pPr>
            <w:r w:rsidRPr="00DD509F">
              <w:rPr>
                <w:rFonts w:ascii="Arial" w:hAnsi="Arial" w:cs="Arial"/>
                <w:sz w:val="20"/>
                <w:szCs w:val="20"/>
              </w:rPr>
              <w:t>Profit for the period</w:t>
            </w:r>
          </w:p>
        </w:tc>
        <w:tc>
          <w:tcPr>
            <w:tcW w:w="672" w:type="dxa"/>
            <w:tcBorders>
              <w:top w:val="nil"/>
              <w:left w:val="nil"/>
              <w:bottom w:val="nil"/>
              <w:right w:val="nil"/>
            </w:tcBorders>
          </w:tcPr>
          <w:p w:rsidR="00B44B33" w:rsidRPr="00DD509F" w:rsidRDefault="00B44B33" w:rsidP="00530CF2">
            <w:pPr>
              <w:jc w:val="center"/>
              <w:rPr>
                <w:rFonts w:ascii="Arial" w:hAnsi="Arial" w:cs="Arial"/>
                <w:sz w:val="20"/>
                <w:szCs w:val="20"/>
              </w:rPr>
            </w:pPr>
          </w:p>
        </w:tc>
        <w:tc>
          <w:tcPr>
            <w:tcW w:w="1224" w:type="dxa"/>
            <w:tcBorders>
              <w:top w:val="nil"/>
              <w:left w:val="nil"/>
              <w:bottom w:val="single" w:sz="2" w:space="0" w:color="auto"/>
              <w:right w:val="nil"/>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9,520</w:t>
            </w:r>
          </w:p>
        </w:tc>
      </w:tr>
      <w:tr w:rsidR="00B44B33" w:rsidRPr="00DD509F" w:rsidTr="00530CF2">
        <w:trPr>
          <w:trHeight w:hRule="exact" w:val="317"/>
          <w:jc w:val="center"/>
        </w:trPr>
        <w:tc>
          <w:tcPr>
            <w:tcW w:w="7248" w:type="dxa"/>
            <w:tcBorders>
              <w:top w:val="nil"/>
              <w:left w:val="nil"/>
              <w:bottom w:val="nil"/>
              <w:right w:val="nil"/>
            </w:tcBorders>
          </w:tcPr>
          <w:p w:rsidR="00B44B33" w:rsidRPr="00DD509F" w:rsidRDefault="00B44B33" w:rsidP="00530CF2">
            <w:pPr>
              <w:rPr>
                <w:rFonts w:ascii="Arial" w:hAnsi="Arial" w:cs="Arial"/>
                <w:sz w:val="20"/>
                <w:szCs w:val="20"/>
              </w:rPr>
            </w:pPr>
            <w:r w:rsidRPr="00DD509F">
              <w:rPr>
                <w:rFonts w:ascii="Arial" w:hAnsi="Arial" w:cs="Arial"/>
                <w:sz w:val="20"/>
                <w:szCs w:val="20"/>
              </w:rPr>
              <w:t>Gains on property revaluation</w:t>
            </w:r>
          </w:p>
        </w:tc>
        <w:tc>
          <w:tcPr>
            <w:tcW w:w="672" w:type="dxa"/>
            <w:tcBorders>
              <w:top w:val="nil"/>
              <w:left w:val="nil"/>
              <w:bottom w:val="nil"/>
              <w:right w:val="nil"/>
            </w:tcBorders>
          </w:tcPr>
          <w:p w:rsidR="00B44B33" w:rsidRPr="00DD509F" w:rsidRDefault="00B44B33" w:rsidP="00530CF2">
            <w:pPr>
              <w:jc w:val="center"/>
              <w:rPr>
                <w:rFonts w:ascii="Arial" w:hAnsi="Arial" w:cs="Arial"/>
                <w:sz w:val="20"/>
                <w:szCs w:val="20"/>
              </w:rPr>
            </w:pPr>
          </w:p>
        </w:tc>
        <w:tc>
          <w:tcPr>
            <w:tcW w:w="1224" w:type="dxa"/>
            <w:tcBorders>
              <w:top w:val="single" w:sz="2" w:space="0" w:color="auto"/>
              <w:left w:val="nil"/>
              <w:bottom w:val="nil"/>
              <w:right w:val="nil"/>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33,988</w:t>
            </w:r>
          </w:p>
        </w:tc>
      </w:tr>
      <w:tr w:rsidR="00B44B33" w:rsidRPr="00DD509F" w:rsidTr="00530CF2">
        <w:trPr>
          <w:trHeight w:hRule="exact" w:val="303"/>
          <w:jc w:val="center"/>
        </w:trPr>
        <w:tc>
          <w:tcPr>
            <w:tcW w:w="7248" w:type="dxa"/>
            <w:tcBorders>
              <w:top w:val="nil"/>
              <w:left w:val="nil"/>
              <w:bottom w:val="nil"/>
              <w:right w:val="nil"/>
            </w:tcBorders>
          </w:tcPr>
          <w:p w:rsidR="00B44B33" w:rsidRPr="00DD509F" w:rsidRDefault="00B44B33" w:rsidP="00530CF2">
            <w:pPr>
              <w:rPr>
                <w:rFonts w:ascii="Arial" w:hAnsi="Arial" w:cs="Arial"/>
                <w:sz w:val="20"/>
                <w:szCs w:val="20"/>
              </w:rPr>
            </w:pPr>
            <w:r w:rsidRPr="00DD509F">
              <w:rPr>
                <w:rFonts w:ascii="Arial" w:hAnsi="Arial" w:cs="Arial"/>
                <w:sz w:val="20"/>
                <w:szCs w:val="20"/>
              </w:rPr>
              <w:t>Deferred tax relating to components of other comprehensive income</w:t>
            </w:r>
          </w:p>
        </w:tc>
        <w:tc>
          <w:tcPr>
            <w:tcW w:w="672" w:type="dxa"/>
            <w:tcBorders>
              <w:top w:val="nil"/>
              <w:left w:val="nil"/>
              <w:bottom w:val="nil"/>
              <w:right w:val="nil"/>
            </w:tcBorders>
          </w:tcPr>
          <w:p w:rsidR="00B44B33" w:rsidRPr="00DD509F" w:rsidRDefault="00B44B33" w:rsidP="00530CF2">
            <w:pPr>
              <w:jc w:val="center"/>
              <w:rPr>
                <w:rFonts w:ascii="Arial" w:hAnsi="Arial" w:cs="Arial"/>
                <w:sz w:val="20"/>
                <w:szCs w:val="20"/>
              </w:rPr>
            </w:pPr>
          </w:p>
        </w:tc>
        <w:tc>
          <w:tcPr>
            <w:tcW w:w="1224" w:type="dxa"/>
            <w:tcBorders>
              <w:top w:val="nil"/>
              <w:left w:val="nil"/>
              <w:bottom w:val="single" w:sz="2" w:space="0" w:color="auto"/>
              <w:right w:val="nil"/>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(7,817)</w:t>
            </w:r>
          </w:p>
        </w:tc>
      </w:tr>
      <w:tr w:rsidR="00B44B33" w:rsidRPr="00DD509F" w:rsidTr="000C61D6">
        <w:trPr>
          <w:trHeight w:hRule="exact" w:val="323"/>
          <w:jc w:val="center"/>
        </w:trPr>
        <w:tc>
          <w:tcPr>
            <w:tcW w:w="7248" w:type="dxa"/>
            <w:tcBorders>
              <w:top w:val="nil"/>
              <w:left w:val="nil"/>
              <w:bottom w:val="nil"/>
              <w:right w:val="nil"/>
            </w:tcBorders>
          </w:tcPr>
          <w:p w:rsidR="00B44B33" w:rsidRPr="00DD509F" w:rsidRDefault="00B44B33" w:rsidP="00530CF2">
            <w:pPr>
              <w:rPr>
                <w:rFonts w:ascii="Arial" w:hAnsi="Arial" w:cs="Arial"/>
                <w:sz w:val="20"/>
                <w:szCs w:val="20"/>
              </w:rPr>
            </w:pPr>
            <w:r w:rsidRPr="00DD509F">
              <w:rPr>
                <w:rFonts w:ascii="Arial" w:hAnsi="Arial" w:cs="Arial"/>
                <w:sz w:val="20"/>
                <w:szCs w:val="20"/>
              </w:rPr>
              <w:t>Other comprehensive income for the period</w:t>
            </w:r>
          </w:p>
        </w:tc>
        <w:tc>
          <w:tcPr>
            <w:tcW w:w="672" w:type="dxa"/>
            <w:tcBorders>
              <w:top w:val="nil"/>
              <w:left w:val="nil"/>
              <w:bottom w:val="nil"/>
              <w:right w:val="nil"/>
            </w:tcBorders>
          </w:tcPr>
          <w:p w:rsidR="00B44B33" w:rsidRPr="00DD509F" w:rsidRDefault="00B44B33" w:rsidP="00530CF2">
            <w:pPr>
              <w:jc w:val="center"/>
              <w:rPr>
                <w:rFonts w:ascii="Arial" w:hAnsi="Arial" w:cs="Arial"/>
                <w:sz w:val="20"/>
                <w:szCs w:val="20"/>
              </w:rPr>
            </w:pPr>
          </w:p>
        </w:tc>
        <w:tc>
          <w:tcPr>
            <w:tcW w:w="1224" w:type="dxa"/>
            <w:tcBorders>
              <w:top w:val="single" w:sz="2" w:space="0" w:color="auto"/>
              <w:left w:val="nil"/>
              <w:bottom w:val="single" w:sz="2" w:space="0" w:color="auto"/>
              <w:right w:val="nil"/>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26,171</w:t>
            </w:r>
          </w:p>
        </w:tc>
      </w:tr>
      <w:tr w:rsidR="00B44B33" w:rsidRPr="00DD509F" w:rsidTr="000C61D6">
        <w:trPr>
          <w:trHeight w:hRule="exact" w:val="257"/>
          <w:jc w:val="center"/>
        </w:trPr>
        <w:tc>
          <w:tcPr>
            <w:tcW w:w="7248" w:type="dxa"/>
            <w:tcBorders>
              <w:top w:val="nil"/>
              <w:left w:val="nil"/>
              <w:bottom w:val="nil"/>
              <w:right w:val="nil"/>
            </w:tcBorders>
          </w:tcPr>
          <w:p w:rsidR="00B44B33" w:rsidRPr="00DD509F" w:rsidRDefault="00B44B33" w:rsidP="00530CF2">
            <w:pPr>
              <w:rPr>
                <w:rFonts w:ascii="Arial" w:hAnsi="Arial" w:cs="Arial"/>
                <w:sz w:val="20"/>
                <w:szCs w:val="20"/>
              </w:rPr>
            </w:pPr>
            <w:r w:rsidRPr="00DD509F">
              <w:rPr>
                <w:rFonts w:ascii="Arial" w:hAnsi="Arial" w:cs="Arial"/>
                <w:sz w:val="20"/>
                <w:szCs w:val="20"/>
              </w:rPr>
              <w:t>Total comprehensive income for the period</w:t>
            </w:r>
          </w:p>
        </w:tc>
        <w:tc>
          <w:tcPr>
            <w:tcW w:w="672" w:type="dxa"/>
            <w:tcBorders>
              <w:top w:val="nil"/>
              <w:left w:val="nil"/>
              <w:bottom w:val="nil"/>
              <w:right w:val="nil"/>
            </w:tcBorders>
          </w:tcPr>
          <w:p w:rsidR="00B44B33" w:rsidRPr="00DD509F" w:rsidRDefault="00B44B33" w:rsidP="00530CF2">
            <w:pPr>
              <w:jc w:val="center"/>
              <w:rPr>
                <w:rFonts w:ascii="Arial" w:hAnsi="Arial" w:cs="Arial"/>
                <w:sz w:val="20"/>
                <w:szCs w:val="20"/>
              </w:rPr>
            </w:pPr>
          </w:p>
        </w:tc>
        <w:tc>
          <w:tcPr>
            <w:tcW w:w="1224" w:type="dxa"/>
            <w:tcBorders>
              <w:top w:val="single" w:sz="2" w:space="0" w:color="auto"/>
              <w:left w:val="nil"/>
              <w:bottom w:val="single" w:sz="4" w:space="0" w:color="auto"/>
              <w:right w:val="nil"/>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35,691</w:t>
            </w:r>
          </w:p>
        </w:tc>
      </w:tr>
      <w:tr w:rsidR="00B44B33" w:rsidRPr="00DD509F" w:rsidTr="00530CF2">
        <w:trPr>
          <w:trHeight w:hRule="exact" w:val="393"/>
          <w:jc w:val="center"/>
        </w:trPr>
        <w:tc>
          <w:tcPr>
            <w:tcW w:w="7248" w:type="dxa"/>
            <w:tcBorders>
              <w:top w:val="nil"/>
              <w:left w:val="nil"/>
              <w:bottom w:val="nil"/>
              <w:right w:val="nil"/>
            </w:tcBorders>
          </w:tcPr>
          <w:p w:rsidR="00B44B33" w:rsidRPr="00DD509F" w:rsidRDefault="00B44B33" w:rsidP="00530CF2">
            <w:pPr>
              <w:rPr>
                <w:rFonts w:ascii="Arial" w:hAnsi="Arial" w:cs="Arial"/>
                <w:sz w:val="20"/>
                <w:szCs w:val="20"/>
              </w:rPr>
            </w:pPr>
          </w:p>
        </w:tc>
        <w:tc>
          <w:tcPr>
            <w:tcW w:w="672" w:type="dxa"/>
            <w:tcBorders>
              <w:top w:val="nil"/>
              <w:left w:val="nil"/>
              <w:bottom w:val="nil"/>
              <w:right w:val="nil"/>
            </w:tcBorders>
          </w:tcPr>
          <w:p w:rsidR="00B44B33" w:rsidRPr="00DD509F" w:rsidRDefault="00B44B33" w:rsidP="00530CF2">
            <w:pPr>
              <w:jc w:val="center"/>
              <w:rPr>
                <w:rFonts w:ascii="Arial" w:hAnsi="Arial" w:cs="Arial"/>
                <w:sz w:val="20"/>
                <w:szCs w:val="20"/>
              </w:rPr>
            </w:pPr>
          </w:p>
        </w:tc>
        <w:tc>
          <w:tcPr>
            <w:tcW w:w="1224" w:type="dxa"/>
            <w:tcBorders>
              <w:top w:val="single" w:sz="4" w:space="0" w:color="auto"/>
              <w:left w:val="nil"/>
              <w:right w:val="nil"/>
            </w:tcBorders>
          </w:tcPr>
          <w:p w:rsidR="00B44B33" w:rsidRPr="00DD509F" w:rsidRDefault="00B44B33" w:rsidP="00530CF2">
            <w:pPr>
              <w:jc w:val="right"/>
              <w:rPr>
                <w:rFonts w:ascii="Arial" w:hAnsi="Arial" w:cs="Arial"/>
                <w:sz w:val="20"/>
                <w:szCs w:val="20"/>
              </w:rPr>
            </w:pPr>
          </w:p>
        </w:tc>
      </w:tr>
      <w:tr w:rsidR="00B44B33" w:rsidRPr="00DD509F" w:rsidTr="000C61D6">
        <w:trPr>
          <w:trHeight w:hRule="exact" w:val="320"/>
          <w:jc w:val="center"/>
        </w:trPr>
        <w:tc>
          <w:tcPr>
            <w:tcW w:w="7248" w:type="dxa"/>
            <w:tcBorders>
              <w:top w:val="nil"/>
              <w:left w:val="nil"/>
              <w:bottom w:val="nil"/>
              <w:right w:val="nil"/>
            </w:tcBorders>
          </w:tcPr>
          <w:p w:rsidR="00B44B33" w:rsidRPr="00DD509F" w:rsidRDefault="00B44B33" w:rsidP="00530CF2">
            <w:pPr>
              <w:rPr>
                <w:rFonts w:ascii="Arial" w:hAnsi="Arial" w:cs="Arial"/>
                <w:sz w:val="20"/>
                <w:szCs w:val="20"/>
              </w:rPr>
            </w:pPr>
            <w:r w:rsidRPr="00DD509F">
              <w:rPr>
                <w:rFonts w:ascii="Arial" w:hAnsi="Arial" w:cs="Arial"/>
                <w:sz w:val="20"/>
                <w:szCs w:val="20"/>
              </w:rPr>
              <w:t>Attributable to:</w:t>
            </w:r>
          </w:p>
          <w:p w:rsidR="00B44B33" w:rsidRPr="00DD509F" w:rsidRDefault="00B44B33" w:rsidP="00530CF2">
            <w:pPr>
              <w:rPr>
                <w:rFonts w:ascii="Arial" w:hAnsi="Arial" w:cs="Arial"/>
                <w:sz w:val="20"/>
                <w:szCs w:val="20"/>
              </w:rPr>
            </w:pPr>
          </w:p>
          <w:p w:rsidR="00B44B33" w:rsidRPr="00DD509F" w:rsidRDefault="00B44B33" w:rsidP="00530CF2">
            <w:pPr>
              <w:rPr>
                <w:rFonts w:ascii="Arial" w:hAnsi="Arial" w:cs="Arial"/>
                <w:sz w:val="20"/>
                <w:szCs w:val="20"/>
              </w:rPr>
            </w:pPr>
          </w:p>
          <w:p w:rsidR="00B44B33" w:rsidRPr="00DD509F" w:rsidRDefault="00B44B33" w:rsidP="00530CF2">
            <w:pPr>
              <w:rPr>
                <w:rFonts w:ascii="Arial" w:hAnsi="Arial" w:cs="Arial"/>
                <w:sz w:val="20"/>
                <w:szCs w:val="20"/>
              </w:rPr>
            </w:pPr>
          </w:p>
        </w:tc>
        <w:tc>
          <w:tcPr>
            <w:tcW w:w="672" w:type="dxa"/>
            <w:tcBorders>
              <w:top w:val="nil"/>
              <w:left w:val="nil"/>
              <w:bottom w:val="nil"/>
              <w:right w:val="nil"/>
            </w:tcBorders>
          </w:tcPr>
          <w:p w:rsidR="00B44B33" w:rsidRPr="00DD509F" w:rsidRDefault="00B44B33" w:rsidP="00530CF2">
            <w:pPr>
              <w:jc w:val="center"/>
              <w:rPr>
                <w:rFonts w:ascii="Arial" w:hAnsi="Arial" w:cs="Arial"/>
                <w:sz w:val="20"/>
                <w:szCs w:val="20"/>
              </w:rPr>
            </w:pPr>
          </w:p>
        </w:tc>
        <w:tc>
          <w:tcPr>
            <w:tcW w:w="1224" w:type="dxa"/>
            <w:tcBorders>
              <w:left w:val="nil"/>
              <w:right w:val="nil"/>
            </w:tcBorders>
          </w:tcPr>
          <w:p w:rsidR="00B44B33" w:rsidRPr="00DD509F" w:rsidRDefault="00B44B33" w:rsidP="00530CF2">
            <w:pPr>
              <w:jc w:val="right"/>
              <w:rPr>
                <w:rFonts w:ascii="Arial" w:hAnsi="Arial" w:cs="Arial"/>
                <w:sz w:val="20"/>
                <w:szCs w:val="20"/>
              </w:rPr>
            </w:pPr>
          </w:p>
        </w:tc>
      </w:tr>
      <w:tr w:rsidR="00B44B33" w:rsidRPr="00DD509F" w:rsidTr="000C61D6">
        <w:trPr>
          <w:trHeight w:hRule="exact" w:val="340"/>
          <w:jc w:val="center"/>
        </w:trPr>
        <w:tc>
          <w:tcPr>
            <w:tcW w:w="7248" w:type="dxa"/>
            <w:tcBorders>
              <w:top w:val="nil"/>
              <w:left w:val="nil"/>
              <w:bottom w:val="nil"/>
              <w:right w:val="nil"/>
            </w:tcBorders>
          </w:tcPr>
          <w:p w:rsidR="00B44B33" w:rsidRPr="00DD509F" w:rsidRDefault="00B44B33" w:rsidP="00530CF2">
            <w:pPr>
              <w:rPr>
                <w:rFonts w:ascii="Arial" w:hAnsi="Arial" w:cs="Arial"/>
                <w:sz w:val="20"/>
                <w:szCs w:val="20"/>
              </w:rPr>
            </w:pPr>
            <w:r w:rsidRPr="00DD509F">
              <w:rPr>
                <w:rFonts w:ascii="Arial" w:hAnsi="Arial" w:cs="Arial"/>
                <w:sz w:val="20"/>
                <w:szCs w:val="20"/>
              </w:rPr>
              <w:t>Owners of the Company</w:t>
            </w:r>
          </w:p>
        </w:tc>
        <w:tc>
          <w:tcPr>
            <w:tcW w:w="672" w:type="dxa"/>
            <w:tcBorders>
              <w:top w:val="nil"/>
              <w:left w:val="nil"/>
              <w:bottom w:val="nil"/>
              <w:right w:val="nil"/>
            </w:tcBorders>
          </w:tcPr>
          <w:p w:rsidR="00B44B33" w:rsidRPr="00DD509F" w:rsidRDefault="00B44B33" w:rsidP="00530CF2">
            <w:pPr>
              <w:jc w:val="center"/>
              <w:rPr>
                <w:rFonts w:ascii="Arial" w:hAnsi="Arial" w:cs="Arial"/>
                <w:sz w:val="20"/>
                <w:szCs w:val="20"/>
              </w:rPr>
            </w:pPr>
          </w:p>
        </w:tc>
        <w:tc>
          <w:tcPr>
            <w:tcW w:w="1224" w:type="dxa"/>
            <w:tcBorders>
              <w:left w:val="nil"/>
              <w:right w:val="nil"/>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35,485</w:t>
            </w:r>
          </w:p>
        </w:tc>
      </w:tr>
      <w:tr w:rsidR="00B44B33" w:rsidRPr="00DD509F" w:rsidTr="000C61D6">
        <w:trPr>
          <w:trHeight w:hRule="exact" w:val="274"/>
          <w:jc w:val="center"/>
        </w:trPr>
        <w:tc>
          <w:tcPr>
            <w:tcW w:w="7248" w:type="dxa"/>
            <w:tcBorders>
              <w:top w:val="nil"/>
              <w:left w:val="nil"/>
              <w:bottom w:val="nil"/>
              <w:right w:val="nil"/>
            </w:tcBorders>
          </w:tcPr>
          <w:p w:rsidR="00B44B33" w:rsidRPr="00DD509F" w:rsidRDefault="00B44B33" w:rsidP="00530CF2">
            <w:pPr>
              <w:rPr>
                <w:rFonts w:ascii="Arial" w:hAnsi="Arial" w:cs="Arial"/>
                <w:sz w:val="20"/>
                <w:szCs w:val="20"/>
              </w:rPr>
            </w:pPr>
            <w:r w:rsidRPr="00DD509F">
              <w:rPr>
                <w:rFonts w:ascii="Arial" w:hAnsi="Arial" w:cs="Arial"/>
                <w:sz w:val="20"/>
                <w:szCs w:val="20"/>
              </w:rPr>
              <w:t xml:space="preserve">Non-controlling interests </w:t>
            </w:r>
          </w:p>
        </w:tc>
        <w:tc>
          <w:tcPr>
            <w:tcW w:w="672" w:type="dxa"/>
            <w:tcBorders>
              <w:top w:val="nil"/>
              <w:left w:val="nil"/>
              <w:bottom w:val="nil"/>
              <w:right w:val="nil"/>
            </w:tcBorders>
          </w:tcPr>
          <w:p w:rsidR="00B44B33" w:rsidRPr="00DD509F" w:rsidRDefault="00B44B33" w:rsidP="00530CF2">
            <w:pPr>
              <w:jc w:val="center"/>
              <w:rPr>
                <w:rFonts w:ascii="Arial" w:hAnsi="Arial" w:cs="Arial"/>
                <w:sz w:val="20"/>
                <w:szCs w:val="20"/>
              </w:rPr>
            </w:pPr>
          </w:p>
        </w:tc>
        <w:tc>
          <w:tcPr>
            <w:tcW w:w="1224" w:type="dxa"/>
            <w:tcBorders>
              <w:left w:val="nil"/>
              <w:bottom w:val="single" w:sz="4" w:space="0" w:color="auto"/>
              <w:right w:val="nil"/>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206</w:t>
            </w:r>
          </w:p>
        </w:tc>
      </w:tr>
      <w:tr w:rsidR="00B44B33" w:rsidRPr="00DD509F" w:rsidTr="00530CF2">
        <w:trPr>
          <w:trHeight w:hRule="exact" w:val="393"/>
          <w:jc w:val="center"/>
        </w:trPr>
        <w:tc>
          <w:tcPr>
            <w:tcW w:w="7248" w:type="dxa"/>
            <w:tcBorders>
              <w:top w:val="nil"/>
              <w:left w:val="nil"/>
              <w:bottom w:val="nil"/>
              <w:right w:val="nil"/>
            </w:tcBorders>
          </w:tcPr>
          <w:p w:rsidR="00B44B33" w:rsidRPr="00DD509F" w:rsidRDefault="00B44B33" w:rsidP="00530CF2">
            <w:pPr>
              <w:rPr>
                <w:rFonts w:ascii="Arial" w:hAnsi="Arial" w:cs="Arial"/>
                <w:sz w:val="20"/>
                <w:szCs w:val="20"/>
              </w:rPr>
            </w:pPr>
          </w:p>
        </w:tc>
        <w:tc>
          <w:tcPr>
            <w:tcW w:w="672" w:type="dxa"/>
            <w:tcBorders>
              <w:top w:val="nil"/>
              <w:left w:val="nil"/>
              <w:bottom w:val="nil"/>
              <w:right w:val="nil"/>
            </w:tcBorders>
          </w:tcPr>
          <w:p w:rsidR="00B44B33" w:rsidRPr="00DD509F" w:rsidRDefault="00B44B33" w:rsidP="00530CF2">
            <w:pPr>
              <w:jc w:val="center"/>
              <w:rPr>
                <w:rFonts w:ascii="Arial" w:hAnsi="Arial" w:cs="Arial"/>
                <w:sz w:val="20"/>
                <w:szCs w:val="20"/>
              </w:rPr>
            </w:pPr>
          </w:p>
        </w:tc>
        <w:tc>
          <w:tcPr>
            <w:tcW w:w="1224" w:type="dxa"/>
            <w:tcBorders>
              <w:top w:val="single" w:sz="4" w:space="0" w:color="auto"/>
              <w:left w:val="nil"/>
              <w:bottom w:val="single" w:sz="4" w:space="0" w:color="auto"/>
              <w:right w:val="nil"/>
            </w:tcBorders>
          </w:tcPr>
          <w:p w:rsidR="00B44B33" w:rsidRPr="00DD509F" w:rsidRDefault="00B44B33" w:rsidP="00530CF2">
            <w:pPr>
              <w:jc w:val="right"/>
              <w:rPr>
                <w:rFonts w:ascii="Arial" w:hAnsi="Arial" w:cs="Arial"/>
                <w:sz w:val="20"/>
                <w:szCs w:val="20"/>
              </w:rPr>
            </w:pPr>
            <w:r w:rsidRPr="00DD509F">
              <w:rPr>
                <w:rFonts w:ascii="Arial" w:hAnsi="Arial" w:cs="Arial"/>
                <w:sz w:val="20"/>
                <w:szCs w:val="20"/>
              </w:rPr>
              <w:t>35,691</w:t>
            </w:r>
          </w:p>
        </w:tc>
      </w:tr>
    </w:tbl>
    <w:p w:rsidR="00B44B33" w:rsidRPr="00DD509F" w:rsidRDefault="00B44B33" w:rsidP="00196068">
      <w:pPr>
        <w:widowControl/>
        <w:adjustRightInd w:val="0"/>
        <w:rPr>
          <w:rFonts w:ascii="Arial" w:hAnsi="Arial" w:cs="Arial"/>
          <w:sz w:val="20"/>
          <w:szCs w:val="20"/>
        </w:rPr>
        <w:sectPr w:rsidR="00B44B33" w:rsidRPr="00DD509F" w:rsidSect="000C61D6">
          <w:pgSz w:w="11904" w:h="16843"/>
          <w:pgMar w:top="1440" w:right="1440" w:bottom="1440" w:left="1440" w:header="720" w:footer="720" w:gutter="0"/>
          <w:cols w:space="720"/>
          <w:noEndnote/>
          <w:docGrid w:linePitch="326"/>
        </w:sectPr>
      </w:pPr>
    </w:p>
    <w:tbl>
      <w:tblPr>
        <w:tblW w:w="9639" w:type="dxa"/>
        <w:jc w:val="center"/>
        <w:tblLayout w:type="fixed"/>
        <w:tblCellMar>
          <w:left w:w="0" w:type="dxa"/>
          <w:right w:w="0" w:type="dxa"/>
        </w:tblCellMar>
        <w:tblLook w:val="0000" w:firstRow="0" w:lastRow="0" w:firstColumn="0" w:lastColumn="0" w:noHBand="0" w:noVBand="0"/>
      </w:tblPr>
      <w:tblGrid>
        <w:gridCol w:w="7470"/>
        <w:gridCol w:w="1118"/>
        <w:gridCol w:w="1051"/>
      </w:tblGrid>
      <w:tr w:rsidR="00B44B33" w:rsidRPr="00DD509F" w:rsidTr="00530CF2">
        <w:trPr>
          <w:trHeight w:hRule="exact" w:val="1704"/>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Condensed consolidated Balance Sheet</w:t>
            </w:r>
          </w:p>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As at 31 December 2012</w:t>
            </w:r>
          </w:p>
        </w:tc>
        <w:tc>
          <w:tcPr>
            <w:tcW w:w="1118" w:type="dxa"/>
            <w:tcBorders>
              <w:top w:val="nil"/>
              <w:left w:val="nil"/>
              <w:bottom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nil"/>
              <w:left w:val="nil"/>
              <w:bottom w:val="nil"/>
              <w:right w:val="nil"/>
            </w:tcBorders>
          </w:tcPr>
          <w:p w:rsidR="00B44B33" w:rsidRPr="00DD509F" w:rsidRDefault="00B44B33" w:rsidP="00530CF2">
            <w:pPr>
              <w:contextualSpacing/>
              <w:jc w:val="right"/>
              <w:rPr>
                <w:rFonts w:ascii="Arial" w:hAnsi="Arial" w:cs="Arial"/>
                <w:i/>
                <w:iCs/>
                <w:spacing w:val="6"/>
                <w:sz w:val="20"/>
                <w:szCs w:val="20"/>
              </w:rPr>
            </w:pPr>
            <w:r w:rsidRPr="00DD509F">
              <w:rPr>
                <w:rFonts w:ascii="Arial" w:hAnsi="Arial" w:cs="Arial"/>
                <w:i/>
                <w:iCs/>
                <w:spacing w:val="6"/>
                <w:sz w:val="20"/>
                <w:szCs w:val="20"/>
              </w:rPr>
              <w:t>As at</w:t>
            </w:r>
          </w:p>
          <w:p w:rsidR="00B44B33" w:rsidRPr="00DD509F" w:rsidRDefault="00B44B33" w:rsidP="00530CF2">
            <w:pPr>
              <w:contextualSpacing/>
              <w:jc w:val="right"/>
              <w:rPr>
                <w:rFonts w:ascii="Arial" w:hAnsi="Arial" w:cs="Arial"/>
                <w:i/>
                <w:iCs/>
                <w:spacing w:val="6"/>
                <w:sz w:val="20"/>
                <w:szCs w:val="20"/>
              </w:rPr>
            </w:pPr>
            <w:r w:rsidRPr="00DD509F">
              <w:rPr>
                <w:rFonts w:ascii="Arial" w:hAnsi="Arial" w:cs="Arial"/>
                <w:i/>
                <w:iCs/>
                <w:spacing w:val="2"/>
                <w:sz w:val="20"/>
                <w:szCs w:val="20"/>
              </w:rPr>
              <w:t>31 December</w:t>
            </w:r>
            <w:r w:rsidRPr="00DD509F">
              <w:rPr>
                <w:rFonts w:ascii="Arial" w:hAnsi="Arial" w:cs="Arial"/>
                <w:i/>
                <w:iCs/>
                <w:spacing w:val="6"/>
                <w:sz w:val="20"/>
                <w:szCs w:val="20"/>
              </w:rPr>
              <w:t xml:space="preserve"> 2012</w:t>
            </w:r>
          </w:p>
        </w:tc>
      </w:tr>
      <w:tr w:rsidR="00B44B33" w:rsidRPr="00DD509F" w:rsidTr="00530CF2">
        <w:trPr>
          <w:trHeight w:hRule="exact" w:val="267"/>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p>
        </w:tc>
        <w:tc>
          <w:tcPr>
            <w:tcW w:w="1118" w:type="dxa"/>
            <w:tcBorders>
              <w:top w:val="nil"/>
              <w:left w:val="nil"/>
              <w:right w:val="nil"/>
            </w:tcBorders>
          </w:tcPr>
          <w:p w:rsidR="00B44B33" w:rsidRPr="00DD509F" w:rsidRDefault="00B44B33" w:rsidP="00530CF2">
            <w:pPr>
              <w:contextualSpacing/>
              <w:jc w:val="center"/>
              <w:rPr>
                <w:rFonts w:ascii="Arial" w:hAnsi="Arial" w:cs="Arial"/>
                <w:i/>
                <w:iCs/>
                <w:spacing w:val="6"/>
                <w:sz w:val="20"/>
                <w:szCs w:val="20"/>
              </w:rPr>
            </w:pPr>
            <w:r w:rsidRPr="00DD509F">
              <w:rPr>
                <w:rFonts w:ascii="Arial" w:hAnsi="Arial" w:cs="Arial"/>
                <w:i/>
                <w:iCs/>
                <w:spacing w:val="6"/>
                <w:sz w:val="20"/>
                <w:szCs w:val="20"/>
              </w:rPr>
              <w:t>Notes</w:t>
            </w:r>
          </w:p>
        </w:tc>
        <w:tc>
          <w:tcPr>
            <w:tcW w:w="1051" w:type="dxa"/>
            <w:tcBorders>
              <w:top w:val="nil"/>
              <w:left w:val="nil"/>
              <w:bottom w:val="nil"/>
              <w:right w:val="nil"/>
            </w:tcBorders>
          </w:tcPr>
          <w:p w:rsidR="00B44B33" w:rsidRPr="00DD509F" w:rsidRDefault="00B44B33" w:rsidP="00530CF2">
            <w:pPr>
              <w:contextualSpacing/>
              <w:jc w:val="right"/>
              <w:rPr>
                <w:rFonts w:ascii="Arial" w:hAnsi="Arial" w:cs="Arial"/>
                <w:i/>
                <w:iCs/>
                <w:spacing w:val="6"/>
                <w:sz w:val="20"/>
                <w:szCs w:val="20"/>
              </w:rPr>
            </w:pPr>
            <w:r w:rsidRPr="00DD509F">
              <w:rPr>
                <w:rFonts w:ascii="Arial" w:hAnsi="Arial" w:cs="Arial"/>
                <w:i/>
                <w:iCs/>
                <w:spacing w:val="6"/>
                <w:sz w:val="20"/>
                <w:szCs w:val="20"/>
              </w:rPr>
              <w:t>£’000</w:t>
            </w:r>
          </w:p>
        </w:tc>
      </w:tr>
      <w:tr w:rsidR="00B44B33" w:rsidRPr="00DD509F" w:rsidTr="00530CF2">
        <w:trPr>
          <w:trHeight w:hRule="exact" w:val="543"/>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Non-current assets</w:t>
            </w:r>
          </w:p>
          <w:p w:rsidR="00B44B33" w:rsidRPr="00DD509F" w:rsidRDefault="00B44B33" w:rsidP="00530CF2">
            <w:pPr>
              <w:contextualSpacing/>
              <w:rPr>
                <w:rFonts w:ascii="Arial" w:hAnsi="Arial" w:cs="Arial"/>
                <w:sz w:val="20"/>
                <w:szCs w:val="20"/>
              </w:rPr>
            </w:pPr>
            <w:r w:rsidRPr="00DD509F">
              <w:rPr>
                <w:rFonts w:ascii="Arial" w:hAnsi="Arial" w:cs="Arial"/>
                <w:sz w:val="20"/>
                <w:szCs w:val="20"/>
              </w:rPr>
              <w:t>Property, plant and equipment</w:t>
            </w:r>
          </w:p>
        </w:tc>
        <w:tc>
          <w:tcPr>
            <w:tcW w:w="1118" w:type="dxa"/>
            <w:tcBorders>
              <w:top w:val="nil"/>
              <w:left w:val="nil"/>
              <w:bottom w:val="nil"/>
              <w:right w:val="nil"/>
            </w:tcBorders>
          </w:tcPr>
          <w:p w:rsidR="00B44B33" w:rsidRDefault="00B44B33" w:rsidP="00530CF2">
            <w:pPr>
              <w:contextualSpacing/>
              <w:jc w:val="center"/>
              <w:rPr>
                <w:rFonts w:ascii="Arial" w:hAnsi="Arial" w:cs="Arial"/>
                <w:sz w:val="20"/>
                <w:szCs w:val="20"/>
              </w:rPr>
            </w:pPr>
          </w:p>
          <w:p w:rsidR="00B44B33" w:rsidRPr="00DD509F" w:rsidRDefault="00B44B33" w:rsidP="00530CF2">
            <w:pPr>
              <w:contextualSpacing/>
              <w:jc w:val="center"/>
              <w:rPr>
                <w:rFonts w:ascii="Arial" w:hAnsi="Arial" w:cs="Arial"/>
                <w:sz w:val="20"/>
                <w:szCs w:val="20"/>
              </w:rPr>
            </w:pPr>
            <w:r w:rsidRPr="00DD509F">
              <w:rPr>
                <w:rFonts w:ascii="Arial" w:hAnsi="Arial" w:cs="Arial"/>
                <w:sz w:val="20"/>
                <w:szCs w:val="20"/>
              </w:rPr>
              <w:t>8</w:t>
            </w:r>
          </w:p>
        </w:tc>
        <w:tc>
          <w:tcPr>
            <w:tcW w:w="1051" w:type="dxa"/>
            <w:tcBorders>
              <w:top w:val="nil"/>
              <w:left w:val="nil"/>
              <w:bottom w:val="nil"/>
              <w:right w:val="nil"/>
            </w:tcBorders>
          </w:tcPr>
          <w:p w:rsidR="00B44B33" w:rsidRDefault="00B44B33" w:rsidP="00530CF2">
            <w:pPr>
              <w:contextualSpacing/>
              <w:jc w:val="right"/>
              <w:rPr>
                <w:rFonts w:ascii="Arial" w:hAnsi="Arial" w:cs="Arial"/>
                <w:sz w:val="20"/>
                <w:szCs w:val="20"/>
              </w:rPr>
            </w:pPr>
          </w:p>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43,770</w:t>
            </w:r>
          </w:p>
        </w:tc>
      </w:tr>
      <w:tr w:rsidR="00B44B33" w:rsidRPr="00DD509F" w:rsidTr="00530CF2">
        <w:trPr>
          <w:trHeight w:hRule="exact" w:val="301"/>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r w:rsidRPr="00DD509F">
              <w:rPr>
                <w:rFonts w:ascii="Arial" w:hAnsi="Arial" w:cs="Arial"/>
                <w:sz w:val="20"/>
                <w:szCs w:val="20"/>
              </w:rPr>
              <w:t>Intangible assets</w:t>
            </w:r>
          </w:p>
        </w:tc>
        <w:tc>
          <w:tcPr>
            <w:tcW w:w="1118" w:type="dxa"/>
            <w:tcBorders>
              <w:top w:val="nil"/>
              <w:left w:val="nil"/>
              <w:right w:val="nil"/>
            </w:tcBorders>
          </w:tcPr>
          <w:p w:rsidR="00B44B33" w:rsidRPr="00DD509F" w:rsidRDefault="00B44B33" w:rsidP="00530CF2">
            <w:pPr>
              <w:contextualSpacing/>
              <w:jc w:val="center"/>
              <w:rPr>
                <w:rFonts w:ascii="Arial" w:hAnsi="Arial" w:cs="Arial"/>
                <w:sz w:val="20"/>
                <w:szCs w:val="20"/>
              </w:rPr>
            </w:pPr>
            <w:r w:rsidRPr="00DD509F">
              <w:rPr>
                <w:rFonts w:ascii="Arial" w:hAnsi="Arial" w:cs="Arial"/>
                <w:sz w:val="20"/>
                <w:szCs w:val="20"/>
              </w:rPr>
              <w:t>9</w:t>
            </w:r>
          </w:p>
        </w:tc>
        <w:tc>
          <w:tcPr>
            <w:tcW w:w="1051" w:type="dxa"/>
            <w:tcBorders>
              <w:top w:val="nil"/>
              <w:left w:val="nil"/>
              <w:bottom w:val="single" w:sz="2"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19,316</w:t>
            </w:r>
          </w:p>
        </w:tc>
      </w:tr>
      <w:tr w:rsidR="00B44B33" w:rsidRPr="00DD509F" w:rsidTr="00530CF2">
        <w:trPr>
          <w:trHeight w:hRule="exact" w:val="303"/>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p>
        </w:tc>
        <w:tc>
          <w:tcPr>
            <w:tcW w:w="1118" w:type="dxa"/>
            <w:tcBorders>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2" w:space="0" w:color="auto"/>
              <w:left w:val="nil"/>
              <w:bottom w:val="single" w:sz="2"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63,086</w:t>
            </w:r>
          </w:p>
        </w:tc>
      </w:tr>
      <w:tr w:rsidR="00B44B33" w:rsidRPr="00DD509F" w:rsidTr="00530CF2">
        <w:trPr>
          <w:trHeight w:hRule="exact" w:val="520"/>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Current assets</w:t>
            </w:r>
          </w:p>
          <w:p w:rsidR="00B44B33" w:rsidRPr="00DD509F" w:rsidRDefault="00B44B33" w:rsidP="00530CF2">
            <w:pPr>
              <w:contextualSpacing/>
              <w:rPr>
                <w:rFonts w:ascii="Arial" w:hAnsi="Arial" w:cs="Arial"/>
                <w:sz w:val="20"/>
                <w:szCs w:val="20"/>
              </w:rPr>
            </w:pPr>
            <w:r w:rsidRPr="00DD509F">
              <w:rPr>
                <w:rFonts w:ascii="Arial" w:hAnsi="Arial" w:cs="Arial"/>
                <w:sz w:val="20"/>
                <w:szCs w:val="20"/>
              </w:rPr>
              <w:t>Trade and other receivables</w:t>
            </w:r>
          </w:p>
        </w:tc>
        <w:tc>
          <w:tcPr>
            <w:tcW w:w="1118" w:type="dxa"/>
            <w:tcBorders>
              <w:left w:val="nil"/>
              <w:bottom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2" w:space="0" w:color="auto"/>
              <w:left w:val="nil"/>
              <w:bottom w:val="nil"/>
              <w:right w:val="nil"/>
            </w:tcBorders>
          </w:tcPr>
          <w:p w:rsidR="00B44B33" w:rsidRDefault="00B44B33" w:rsidP="00530CF2">
            <w:pPr>
              <w:contextualSpacing/>
              <w:jc w:val="right"/>
              <w:rPr>
                <w:rFonts w:ascii="Arial" w:hAnsi="Arial" w:cs="Arial"/>
                <w:sz w:val="20"/>
                <w:szCs w:val="20"/>
              </w:rPr>
            </w:pPr>
          </w:p>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3,268</w:t>
            </w:r>
          </w:p>
        </w:tc>
      </w:tr>
      <w:tr w:rsidR="00B44B33" w:rsidRPr="00DD509F" w:rsidTr="00530CF2">
        <w:trPr>
          <w:trHeight w:hRule="exact" w:val="226"/>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r w:rsidRPr="00DD509F">
              <w:rPr>
                <w:rFonts w:ascii="Arial" w:hAnsi="Arial" w:cs="Arial"/>
                <w:sz w:val="20"/>
                <w:szCs w:val="20"/>
              </w:rPr>
              <w:t>Cash and bank balances</w:t>
            </w:r>
          </w:p>
        </w:tc>
        <w:tc>
          <w:tcPr>
            <w:tcW w:w="1118" w:type="dxa"/>
            <w:tcBorders>
              <w:top w:val="nil"/>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nil"/>
              <w:left w:val="nil"/>
              <w:bottom w:val="single" w:sz="2"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21,191</w:t>
            </w:r>
          </w:p>
        </w:tc>
      </w:tr>
      <w:tr w:rsidR="00B44B33" w:rsidRPr="00DD509F" w:rsidTr="00530CF2">
        <w:trPr>
          <w:trHeight w:hRule="exact" w:val="247"/>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p>
        </w:tc>
        <w:tc>
          <w:tcPr>
            <w:tcW w:w="1118" w:type="dxa"/>
            <w:tcBorders>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2" w:space="0" w:color="auto"/>
              <w:left w:val="nil"/>
              <w:bottom w:val="single" w:sz="2"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24,459</w:t>
            </w:r>
          </w:p>
        </w:tc>
      </w:tr>
      <w:tr w:rsidR="00B44B33" w:rsidRPr="00DD509F" w:rsidTr="00530CF2">
        <w:trPr>
          <w:trHeight w:hRule="exact" w:val="269"/>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Total assets</w:t>
            </w:r>
          </w:p>
        </w:tc>
        <w:tc>
          <w:tcPr>
            <w:tcW w:w="1118" w:type="dxa"/>
            <w:tcBorders>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2" w:space="0" w:color="auto"/>
              <w:left w:val="nil"/>
              <w:bottom w:val="single" w:sz="2"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87,545</w:t>
            </w:r>
          </w:p>
        </w:tc>
      </w:tr>
      <w:tr w:rsidR="00B44B33" w:rsidRPr="00DD509F" w:rsidTr="00530CF2">
        <w:trPr>
          <w:trHeight w:hRule="exact" w:val="453"/>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Current liabilities</w:t>
            </w:r>
          </w:p>
          <w:p w:rsidR="00B44B33" w:rsidRPr="00DD509F" w:rsidRDefault="00B44B33" w:rsidP="00530CF2">
            <w:pPr>
              <w:contextualSpacing/>
              <w:rPr>
                <w:rFonts w:ascii="Arial" w:hAnsi="Arial" w:cs="Arial"/>
                <w:sz w:val="20"/>
                <w:szCs w:val="20"/>
              </w:rPr>
            </w:pPr>
            <w:r w:rsidRPr="00DD509F">
              <w:rPr>
                <w:rFonts w:ascii="Arial" w:hAnsi="Arial" w:cs="Arial"/>
                <w:sz w:val="20"/>
                <w:szCs w:val="20"/>
              </w:rPr>
              <w:t>Trade and other payables</w:t>
            </w:r>
          </w:p>
        </w:tc>
        <w:tc>
          <w:tcPr>
            <w:tcW w:w="1118" w:type="dxa"/>
            <w:tcBorders>
              <w:left w:val="nil"/>
              <w:bottom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2" w:space="0" w:color="auto"/>
              <w:left w:val="nil"/>
              <w:bottom w:val="nil"/>
              <w:right w:val="nil"/>
            </w:tcBorders>
          </w:tcPr>
          <w:p w:rsidR="00B44B33" w:rsidRDefault="00B44B33" w:rsidP="00530CF2">
            <w:pPr>
              <w:contextualSpacing/>
              <w:jc w:val="right"/>
              <w:rPr>
                <w:rFonts w:ascii="Arial" w:hAnsi="Arial" w:cs="Arial"/>
                <w:sz w:val="20"/>
                <w:szCs w:val="20"/>
              </w:rPr>
            </w:pPr>
          </w:p>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3,053</w:t>
            </w:r>
          </w:p>
        </w:tc>
      </w:tr>
      <w:tr w:rsidR="00B44B33" w:rsidRPr="00DD509F" w:rsidTr="00530CF2">
        <w:trPr>
          <w:trHeight w:hRule="exact" w:val="262"/>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r w:rsidRPr="00DD509F">
              <w:rPr>
                <w:rFonts w:ascii="Arial" w:hAnsi="Arial" w:cs="Arial"/>
                <w:sz w:val="20"/>
                <w:szCs w:val="20"/>
              </w:rPr>
              <w:t>Obligations under finance leases</w:t>
            </w:r>
          </w:p>
        </w:tc>
        <w:tc>
          <w:tcPr>
            <w:tcW w:w="1118" w:type="dxa"/>
            <w:tcBorders>
              <w:top w:val="nil"/>
              <w:left w:val="nil"/>
              <w:bottom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nil"/>
              <w:left w:val="nil"/>
              <w:bottom w:val="nil"/>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649</w:t>
            </w:r>
          </w:p>
        </w:tc>
      </w:tr>
      <w:tr w:rsidR="00B44B33" w:rsidRPr="00DD509F" w:rsidTr="00530CF2">
        <w:trPr>
          <w:trHeight w:hRule="exact" w:val="224"/>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r w:rsidRPr="00DD509F">
              <w:rPr>
                <w:rFonts w:ascii="Arial" w:hAnsi="Arial" w:cs="Arial"/>
                <w:sz w:val="20"/>
                <w:szCs w:val="20"/>
              </w:rPr>
              <w:t>Deferred income</w:t>
            </w:r>
          </w:p>
        </w:tc>
        <w:tc>
          <w:tcPr>
            <w:tcW w:w="1118" w:type="dxa"/>
            <w:tcBorders>
              <w:top w:val="nil"/>
              <w:left w:val="nil"/>
              <w:right w:val="nil"/>
            </w:tcBorders>
          </w:tcPr>
          <w:p w:rsidR="00B44B33" w:rsidRPr="00DD509F" w:rsidRDefault="00B44B33" w:rsidP="00530CF2">
            <w:pPr>
              <w:contextualSpacing/>
              <w:jc w:val="center"/>
              <w:rPr>
                <w:rFonts w:ascii="Arial" w:hAnsi="Arial" w:cs="Arial"/>
                <w:sz w:val="20"/>
                <w:szCs w:val="20"/>
              </w:rPr>
            </w:pPr>
            <w:r w:rsidRPr="00DD509F">
              <w:rPr>
                <w:rFonts w:ascii="Arial" w:hAnsi="Arial" w:cs="Arial"/>
                <w:sz w:val="20"/>
                <w:szCs w:val="20"/>
              </w:rPr>
              <w:t>10</w:t>
            </w:r>
          </w:p>
        </w:tc>
        <w:tc>
          <w:tcPr>
            <w:tcW w:w="1051" w:type="dxa"/>
            <w:tcBorders>
              <w:top w:val="nil"/>
              <w:left w:val="nil"/>
              <w:bottom w:val="single" w:sz="2"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8,117</w:t>
            </w:r>
          </w:p>
        </w:tc>
      </w:tr>
      <w:tr w:rsidR="00B44B33" w:rsidRPr="00DD509F" w:rsidTr="00530CF2">
        <w:trPr>
          <w:trHeight w:hRule="exact" w:val="211"/>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p>
        </w:tc>
        <w:tc>
          <w:tcPr>
            <w:tcW w:w="1118" w:type="dxa"/>
            <w:tcBorders>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2" w:space="0" w:color="auto"/>
              <w:left w:val="nil"/>
              <w:bottom w:val="single" w:sz="2"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11,819</w:t>
            </w:r>
          </w:p>
        </w:tc>
      </w:tr>
      <w:tr w:rsidR="00B44B33" w:rsidRPr="00DD509F" w:rsidTr="00530CF2">
        <w:trPr>
          <w:trHeight w:hRule="exact" w:val="267"/>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Net current assets</w:t>
            </w:r>
          </w:p>
        </w:tc>
        <w:tc>
          <w:tcPr>
            <w:tcW w:w="1118" w:type="dxa"/>
            <w:tcBorders>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2" w:space="0" w:color="auto"/>
              <w:left w:val="nil"/>
              <w:bottom w:val="single" w:sz="2"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12,640</w:t>
            </w:r>
          </w:p>
        </w:tc>
      </w:tr>
      <w:tr w:rsidR="00B44B33" w:rsidRPr="00DD509F" w:rsidTr="00530CF2">
        <w:trPr>
          <w:trHeight w:hRule="exact" w:val="484"/>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Non-current liabilities</w:t>
            </w:r>
          </w:p>
          <w:p w:rsidR="00B44B33" w:rsidRPr="00DD509F" w:rsidRDefault="00B44B33" w:rsidP="00530CF2">
            <w:pPr>
              <w:contextualSpacing/>
              <w:rPr>
                <w:rFonts w:ascii="Arial" w:hAnsi="Arial" w:cs="Arial"/>
                <w:sz w:val="20"/>
                <w:szCs w:val="20"/>
              </w:rPr>
            </w:pPr>
            <w:r w:rsidRPr="00DD509F">
              <w:rPr>
                <w:rFonts w:ascii="Arial" w:hAnsi="Arial" w:cs="Arial"/>
                <w:sz w:val="20"/>
                <w:szCs w:val="20"/>
              </w:rPr>
              <w:t>Trade and other payables</w:t>
            </w:r>
          </w:p>
        </w:tc>
        <w:tc>
          <w:tcPr>
            <w:tcW w:w="1118" w:type="dxa"/>
            <w:tcBorders>
              <w:left w:val="nil"/>
              <w:bottom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2" w:space="0" w:color="auto"/>
              <w:left w:val="nil"/>
              <w:bottom w:val="nil"/>
              <w:right w:val="nil"/>
            </w:tcBorders>
          </w:tcPr>
          <w:p w:rsidR="00B44B33" w:rsidRDefault="00B44B33" w:rsidP="00530CF2">
            <w:pPr>
              <w:contextualSpacing/>
              <w:jc w:val="right"/>
              <w:rPr>
                <w:rFonts w:ascii="Arial" w:hAnsi="Arial" w:cs="Arial"/>
                <w:sz w:val="20"/>
                <w:szCs w:val="20"/>
              </w:rPr>
            </w:pPr>
          </w:p>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141</w:t>
            </w:r>
          </w:p>
        </w:tc>
      </w:tr>
      <w:tr w:rsidR="00B44B33" w:rsidRPr="00DD509F" w:rsidTr="00530CF2">
        <w:trPr>
          <w:trHeight w:hRule="exact" w:val="257"/>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r w:rsidRPr="00DD509F">
              <w:rPr>
                <w:rFonts w:ascii="Arial" w:hAnsi="Arial" w:cs="Arial"/>
                <w:sz w:val="20"/>
                <w:szCs w:val="20"/>
              </w:rPr>
              <w:t>Obligations under finance leases</w:t>
            </w:r>
          </w:p>
        </w:tc>
        <w:tc>
          <w:tcPr>
            <w:tcW w:w="1118" w:type="dxa"/>
            <w:tcBorders>
              <w:top w:val="nil"/>
              <w:left w:val="nil"/>
              <w:bottom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nil"/>
              <w:left w:val="nil"/>
              <w:bottom w:val="nil"/>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1,279</w:t>
            </w:r>
          </w:p>
        </w:tc>
      </w:tr>
      <w:tr w:rsidR="00B44B33" w:rsidRPr="00DD509F" w:rsidTr="00530CF2">
        <w:trPr>
          <w:trHeight w:hRule="exact" w:val="222"/>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r w:rsidRPr="00DD509F">
              <w:rPr>
                <w:rFonts w:ascii="Arial" w:hAnsi="Arial" w:cs="Arial"/>
                <w:sz w:val="20"/>
                <w:szCs w:val="20"/>
              </w:rPr>
              <w:t>Deferred tax liability</w:t>
            </w:r>
          </w:p>
        </w:tc>
        <w:tc>
          <w:tcPr>
            <w:tcW w:w="1118" w:type="dxa"/>
            <w:tcBorders>
              <w:top w:val="nil"/>
              <w:left w:val="nil"/>
              <w:right w:val="nil"/>
            </w:tcBorders>
          </w:tcPr>
          <w:p w:rsidR="00B44B33" w:rsidRPr="00DD509F" w:rsidRDefault="00B44B33" w:rsidP="00530CF2">
            <w:pPr>
              <w:contextualSpacing/>
              <w:jc w:val="center"/>
              <w:rPr>
                <w:rFonts w:ascii="Arial" w:hAnsi="Arial" w:cs="Arial"/>
                <w:sz w:val="20"/>
                <w:szCs w:val="20"/>
              </w:rPr>
            </w:pPr>
            <w:r w:rsidRPr="00DD509F">
              <w:rPr>
                <w:rFonts w:ascii="Arial" w:hAnsi="Arial" w:cs="Arial"/>
                <w:sz w:val="20"/>
                <w:szCs w:val="20"/>
              </w:rPr>
              <w:t>11</w:t>
            </w:r>
          </w:p>
        </w:tc>
        <w:tc>
          <w:tcPr>
            <w:tcW w:w="1051" w:type="dxa"/>
            <w:tcBorders>
              <w:top w:val="nil"/>
              <w:left w:val="nil"/>
              <w:bottom w:val="single" w:sz="2"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7,817</w:t>
            </w:r>
          </w:p>
        </w:tc>
      </w:tr>
      <w:tr w:rsidR="00B44B33" w:rsidRPr="00DD509F" w:rsidTr="00530CF2">
        <w:trPr>
          <w:trHeight w:hRule="exact" w:val="357"/>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p>
        </w:tc>
        <w:tc>
          <w:tcPr>
            <w:tcW w:w="1118" w:type="dxa"/>
            <w:tcBorders>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2" w:space="0" w:color="auto"/>
              <w:left w:val="nil"/>
              <w:bottom w:val="single" w:sz="2"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9,237</w:t>
            </w:r>
          </w:p>
        </w:tc>
      </w:tr>
      <w:tr w:rsidR="00B44B33" w:rsidRPr="00DD509F" w:rsidTr="00530CF2">
        <w:trPr>
          <w:trHeight w:hRule="exact" w:val="265"/>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Total liabilities</w:t>
            </w:r>
          </w:p>
        </w:tc>
        <w:tc>
          <w:tcPr>
            <w:tcW w:w="1118" w:type="dxa"/>
            <w:tcBorders>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2" w:space="0" w:color="auto"/>
              <w:left w:val="nil"/>
              <w:bottom w:val="single" w:sz="2"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21,</w:t>
            </w:r>
            <w:r>
              <w:rPr>
                <w:rFonts w:ascii="Arial" w:hAnsi="Arial" w:cs="Arial"/>
                <w:sz w:val="20"/>
                <w:szCs w:val="20"/>
              </w:rPr>
              <w:t>056</w:t>
            </w:r>
          </w:p>
        </w:tc>
      </w:tr>
      <w:tr w:rsidR="00B44B33" w:rsidRPr="00DD509F" w:rsidTr="00530CF2">
        <w:trPr>
          <w:trHeight w:hRule="exact" w:val="341"/>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Net assets</w:t>
            </w:r>
          </w:p>
        </w:tc>
        <w:tc>
          <w:tcPr>
            <w:tcW w:w="1118" w:type="dxa"/>
            <w:tcBorders>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2" w:space="0" w:color="auto"/>
              <w:left w:val="nil"/>
              <w:bottom w:val="single" w:sz="2"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66,489</w:t>
            </w:r>
          </w:p>
        </w:tc>
      </w:tr>
      <w:tr w:rsidR="00B44B33" w:rsidRPr="00DD509F" w:rsidTr="00530CF2">
        <w:trPr>
          <w:trHeight w:hRule="exact" w:val="516"/>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Equity</w:t>
            </w:r>
          </w:p>
          <w:p w:rsidR="00B44B33" w:rsidRPr="00DD509F" w:rsidRDefault="00B44B33" w:rsidP="00530CF2">
            <w:pPr>
              <w:contextualSpacing/>
              <w:rPr>
                <w:rFonts w:ascii="Arial" w:hAnsi="Arial" w:cs="Arial"/>
                <w:sz w:val="20"/>
                <w:szCs w:val="20"/>
              </w:rPr>
            </w:pPr>
            <w:r w:rsidRPr="00DD509F">
              <w:rPr>
                <w:rFonts w:ascii="Arial" w:hAnsi="Arial" w:cs="Arial"/>
                <w:sz w:val="20"/>
                <w:szCs w:val="20"/>
              </w:rPr>
              <w:t>Share capital</w:t>
            </w:r>
          </w:p>
        </w:tc>
        <w:tc>
          <w:tcPr>
            <w:tcW w:w="1118" w:type="dxa"/>
            <w:tcBorders>
              <w:left w:val="nil"/>
              <w:bottom w:val="nil"/>
              <w:right w:val="nil"/>
            </w:tcBorders>
          </w:tcPr>
          <w:p w:rsidR="00B44B33" w:rsidRDefault="00B44B33" w:rsidP="00530CF2">
            <w:pPr>
              <w:contextualSpacing/>
              <w:jc w:val="center"/>
              <w:rPr>
                <w:rFonts w:ascii="Arial" w:hAnsi="Arial" w:cs="Arial"/>
                <w:sz w:val="20"/>
                <w:szCs w:val="20"/>
              </w:rPr>
            </w:pPr>
          </w:p>
          <w:p w:rsidR="00B44B33" w:rsidRPr="00DD509F" w:rsidRDefault="00B44B33" w:rsidP="00530CF2">
            <w:pPr>
              <w:contextualSpacing/>
              <w:jc w:val="center"/>
              <w:rPr>
                <w:rFonts w:ascii="Arial" w:hAnsi="Arial" w:cs="Arial"/>
                <w:sz w:val="20"/>
                <w:szCs w:val="20"/>
              </w:rPr>
            </w:pPr>
            <w:r w:rsidRPr="00DD509F">
              <w:rPr>
                <w:rFonts w:ascii="Arial" w:hAnsi="Arial" w:cs="Arial"/>
                <w:sz w:val="20"/>
                <w:szCs w:val="20"/>
              </w:rPr>
              <w:t>12</w:t>
            </w:r>
          </w:p>
        </w:tc>
        <w:tc>
          <w:tcPr>
            <w:tcW w:w="1051" w:type="dxa"/>
            <w:tcBorders>
              <w:top w:val="single" w:sz="2" w:space="0" w:color="auto"/>
              <w:left w:val="nil"/>
              <w:bottom w:val="nil"/>
              <w:right w:val="nil"/>
            </w:tcBorders>
          </w:tcPr>
          <w:p w:rsidR="00B44B33" w:rsidRDefault="00B44B33" w:rsidP="00530CF2">
            <w:pPr>
              <w:contextualSpacing/>
              <w:jc w:val="right"/>
              <w:rPr>
                <w:rFonts w:ascii="Arial" w:hAnsi="Arial" w:cs="Arial"/>
                <w:i/>
                <w:sz w:val="20"/>
                <w:szCs w:val="20"/>
              </w:rPr>
            </w:pPr>
          </w:p>
          <w:p w:rsidR="00B44B33" w:rsidRPr="00DD509F" w:rsidRDefault="00B44B33" w:rsidP="00530CF2">
            <w:pPr>
              <w:contextualSpacing/>
              <w:jc w:val="right"/>
              <w:rPr>
                <w:rFonts w:ascii="Arial" w:hAnsi="Arial" w:cs="Arial"/>
                <w:i/>
                <w:sz w:val="20"/>
                <w:szCs w:val="20"/>
              </w:rPr>
            </w:pPr>
            <w:r w:rsidRPr="00DD509F">
              <w:rPr>
                <w:rFonts w:ascii="Arial" w:hAnsi="Arial" w:cs="Arial"/>
                <w:i/>
                <w:sz w:val="20"/>
                <w:szCs w:val="20"/>
              </w:rPr>
              <w:t>651</w:t>
            </w:r>
          </w:p>
        </w:tc>
      </w:tr>
      <w:tr w:rsidR="00B44B33" w:rsidRPr="00DD509F" w:rsidTr="00530CF2">
        <w:trPr>
          <w:trHeight w:hRule="exact" w:val="258"/>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r w:rsidRPr="00DD509F">
              <w:rPr>
                <w:rFonts w:ascii="Arial" w:hAnsi="Arial" w:cs="Arial"/>
                <w:sz w:val="20"/>
                <w:szCs w:val="20"/>
              </w:rPr>
              <w:t>Share premium account</w:t>
            </w:r>
          </w:p>
        </w:tc>
        <w:tc>
          <w:tcPr>
            <w:tcW w:w="1118" w:type="dxa"/>
            <w:tcBorders>
              <w:top w:val="nil"/>
              <w:left w:val="nil"/>
              <w:bottom w:val="nil"/>
              <w:right w:val="nil"/>
            </w:tcBorders>
          </w:tcPr>
          <w:p w:rsidR="00B44B33" w:rsidRPr="00DD509F" w:rsidRDefault="00B44B33" w:rsidP="00530CF2">
            <w:pPr>
              <w:contextualSpacing/>
              <w:jc w:val="center"/>
              <w:rPr>
                <w:rFonts w:ascii="Arial" w:hAnsi="Arial" w:cs="Arial"/>
                <w:sz w:val="20"/>
                <w:szCs w:val="20"/>
              </w:rPr>
            </w:pPr>
            <w:r w:rsidRPr="00DD509F">
              <w:rPr>
                <w:rFonts w:ascii="Arial" w:hAnsi="Arial" w:cs="Arial"/>
                <w:sz w:val="20"/>
                <w:szCs w:val="20"/>
              </w:rPr>
              <w:t>13</w:t>
            </w:r>
          </w:p>
        </w:tc>
        <w:tc>
          <w:tcPr>
            <w:tcW w:w="1051" w:type="dxa"/>
            <w:tcBorders>
              <w:top w:val="nil"/>
              <w:left w:val="nil"/>
              <w:bottom w:val="nil"/>
              <w:right w:val="nil"/>
            </w:tcBorders>
          </w:tcPr>
          <w:p w:rsidR="00B44B33" w:rsidRPr="00DD509F" w:rsidRDefault="00B44B33" w:rsidP="00530CF2">
            <w:pPr>
              <w:contextualSpacing/>
              <w:jc w:val="right"/>
              <w:rPr>
                <w:rFonts w:ascii="Arial" w:hAnsi="Arial" w:cs="Arial"/>
                <w:i/>
                <w:sz w:val="20"/>
                <w:szCs w:val="20"/>
              </w:rPr>
            </w:pPr>
            <w:r w:rsidRPr="00DD509F">
              <w:rPr>
                <w:rFonts w:ascii="Arial" w:hAnsi="Arial" w:cs="Arial"/>
                <w:i/>
                <w:sz w:val="20"/>
                <w:szCs w:val="20"/>
              </w:rPr>
              <w:t>30,147</w:t>
            </w:r>
          </w:p>
        </w:tc>
      </w:tr>
      <w:tr w:rsidR="00B44B33" w:rsidRPr="00DD509F" w:rsidTr="00530CF2">
        <w:trPr>
          <w:trHeight w:hRule="exact" w:val="257"/>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r w:rsidRPr="00DD509F">
              <w:rPr>
                <w:rFonts w:ascii="Arial" w:hAnsi="Arial" w:cs="Arial"/>
                <w:sz w:val="20"/>
                <w:szCs w:val="20"/>
              </w:rPr>
              <w:t>Revaluation reserve</w:t>
            </w:r>
          </w:p>
        </w:tc>
        <w:tc>
          <w:tcPr>
            <w:tcW w:w="1118" w:type="dxa"/>
            <w:tcBorders>
              <w:top w:val="nil"/>
              <w:left w:val="nil"/>
              <w:right w:val="nil"/>
            </w:tcBorders>
          </w:tcPr>
          <w:p w:rsidR="00B44B33" w:rsidRPr="00DD509F" w:rsidRDefault="00B44B33" w:rsidP="00530CF2">
            <w:pPr>
              <w:contextualSpacing/>
              <w:jc w:val="center"/>
              <w:rPr>
                <w:rFonts w:ascii="Arial" w:hAnsi="Arial" w:cs="Arial"/>
                <w:sz w:val="20"/>
                <w:szCs w:val="20"/>
              </w:rPr>
            </w:pPr>
            <w:r w:rsidRPr="00DD509F">
              <w:rPr>
                <w:rFonts w:ascii="Arial" w:hAnsi="Arial" w:cs="Arial"/>
                <w:sz w:val="20"/>
                <w:szCs w:val="20"/>
              </w:rPr>
              <w:t>14</w:t>
            </w:r>
          </w:p>
        </w:tc>
        <w:tc>
          <w:tcPr>
            <w:tcW w:w="1051" w:type="dxa"/>
            <w:tcBorders>
              <w:top w:val="nil"/>
              <w:left w:val="nil"/>
              <w:bottom w:val="nil"/>
              <w:right w:val="nil"/>
            </w:tcBorders>
          </w:tcPr>
          <w:p w:rsidR="00B44B33" w:rsidRPr="00DD509F" w:rsidRDefault="00B44B33" w:rsidP="00530CF2">
            <w:pPr>
              <w:contextualSpacing/>
              <w:jc w:val="right"/>
              <w:rPr>
                <w:rFonts w:ascii="Arial" w:hAnsi="Arial" w:cs="Arial"/>
                <w:i/>
                <w:sz w:val="20"/>
                <w:szCs w:val="20"/>
              </w:rPr>
            </w:pPr>
            <w:r w:rsidRPr="00DD509F">
              <w:rPr>
                <w:rFonts w:ascii="Arial" w:hAnsi="Arial" w:cs="Arial"/>
                <w:i/>
                <w:sz w:val="20"/>
                <w:szCs w:val="20"/>
              </w:rPr>
              <w:t>26,016</w:t>
            </w:r>
          </w:p>
        </w:tc>
      </w:tr>
      <w:tr w:rsidR="00B44B33" w:rsidRPr="00DD509F" w:rsidTr="00530CF2">
        <w:trPr>
          <w:trHeight w:hRule="exact" w:val="305"/>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sz w:val="20"/>
                <w:szCs w:val="20"/>
              </w:rPr>
            </w:pPr>
            <w:r w:rsidRPr="00DD509F">
              <w:rPr>
                <w:rFonts w:ascii="Arial" w:hAnsi="Arial" w:cs="Arial"/>
                <w:sz w:val="20"/>
                <w:szCs w:val="20"/>
              </w:rPr>
              <w:t>Retained earnings</w:t>
            </w:r>
          </w:p>
        </w:tc>
        <w:tc>
          <w:tcPr>
            <w:tcW w:w="1118" w:type="dxa"/>
            <w:tcBorders>
              <w:top w:val="nil"/>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nil"/>
              <w:left w:val="nil"/>
              <w:bottom w:val="single" w:sz="2" w:space="0" w:color="auto"/>
              <w:right w:val="nil"/>
            </w:tcBorders>
          </w:tcPr>
          <w:p w:rsidR="00B44B33" w:rsidRPr="00DD509F" w:rsidRDefault="00B44B33" w:rsidP="00530CF2">
            <w:pPr>
              <w:contextualSpacing/>
              <w:jc w:val="right"/>
              <w:rPr>
                <w:rFonts w:ascii="Arial" w:hAnsi="Arial" w:cs="Arial"/>
                <w:i/>
                <w:sz w:val="20"/>
                <w:szCs w:val="20"/>
              </w:rPr>
            </w:pPr>
            <w:r w:rsidRPr="00DD509F">
              <w:rPr>
                <w:rFonts w:ascii="Arial" w:hAnsi="Arial" w:cs="Arial"/>
                <w:i/>
                <w:sz w:val="20"/>
                <w:szCs w:val="20"/>
              </w:rPr>
              <w:t>9,469</w:t>
            </w:r>
          </w:p>
        </w:tc>
      </w:tr>
      <w:tr w:rsidR="00B44B33" w:rsidRPr="00DD509F" w:rsidTr="00530CF2">
        <w:trPr>
          <w:trHeight w:hRule="exact" w:val="253"/>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Equity attributable to equity holders of the parent</w:t>
            </w:r>
          </w:p>
        </w:tc>
        <w:tc>
          <w:tcPr>
            <w:tcW w:w="1118" w:type="dxa"/>
            <w:tcBorders>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2" w:space="0" w:color="auto"/>
              <w:left w:val="nil"/>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66,283</w:t>
            </w:r>
          </w:p>
        </w:tc>
      </w:tr>
      <w:tr w:rsidR="00B44B33" w:rsidRPr="00DD509F" w:rsidTr="00530CF2">
        <w:trPr>
          <w:trHeight w:hRule="exact" w:val="280"/>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Non-controlling interests</w:t>
            </w:r>
          </w:p>
        </w:tc>
        <w:tc>
          <w:tcPr>
            <w:tcW w:w="1118" w:type="dxa"/>
            <w:tcBorders>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left w:val="nil"/>
              <w:bottom w:val="single" w:sz="4"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206</w:t>
            </w:r>
          </w:p>
        </w:tc>
      </w:tr>
      <w:tr w:rsidR="00B44B33" w:rsidRPr="00DD509F" w:rsidTr="00530CF2">
        <w:trPr>
          <w:trHeight w:hRule="exact" w:val="280"/>
          <w:jc w:val="center"/>
        </w:trPr>
        <w:tc>
          <w:tcPr>
            <w:tcW w:w="7470" w:type="dxa"/>
            <w:tcBorders>
              <w:top w:val="nil"/>
              <w:left w:val="nil"/>
              <w:bottom w:val="nil"/>
              <w:right w:val="nil"/>
            </w:tcBorders>
          </w:tcPr>
          <w:p w:rsidR="00B44B33" w:rsidRPr="00DD509F" w:rsidRDefault="00B44B33" w:rsidP="00530CF2">
            <w:pPr>
              <w:contextualSpacing/>
              <w:rPr>
                <w:rFonts w:ascii="Arial" w:hAnsi="Arial" w:cs="Arial"/>
                <w:b/>
                <w:bCs/>
                <w:sz w:val="20"/>
                <w:szCs w:val="20"/>
              </w:rPr>
            </w:pPr>
            <w:r w:rsidRPr="00DD509F">
              <w:rPr>
                <w:rFonts w:ascii="Arial" w:hAnsi="Arial" w:cs="Arial"/>
                <w:b/>
                <w:bCs/>
                <w:sz w:val="20"/>
                <w:szCs w:val="20"/>
              </w:rPr>
              <w:t>Total Equity</w:t>
            </w:r>
          </w:p>
        </w:tc>
        <w:tc>
          <w:tcPr>
            <w:tcW w:w="1118" w:type="dxa"/>
            <w:tcBorders>
              <w:left w:val="nil"/>
              <w:right w:val="nil"/>
            </w:tcBorders>
          </w:tcPr>
          <w:p w:rsidR="00B44B33" w:rsidRPr="00DD509F" w:rsidRDefault="00B44B33" w:rsidP="00530CF2">
            <w:pPr>
              <w:contextualSpacing/>
              <w:jc w:val="center"/>
              <w:rPr>
                <w:rFonts w:ascii="Arial" w:hAnsi="Arial" w:cs="Arial"/>
                <w:sz w:val="20"/>
                <w:szCs w:val="20"/>
              </w:rPr>
            </w:pPr>
          </w:p>
        </w:tc>
        <w:tc>
          <w:tcPr>
            <w:tcW w:w="1051" w:type="dxa"/>
            <w:tcBorders>
              <w:top w:val="single" w:sz="4" w:space="0" w:color="auto"/>
              <w:left w:val="nil"/>
              <w:bottom w:val="single" w:sz="4" w:space="0" w:color="auto"/>
              <w:right w:val="nil"/>
            </w:tcBorders>
          </w:tcPr>
          <w:p w:rsidR="00B44B33" w:rsidRPr="00DD509F" w:rsidRDefault="00B44B33" w:rsidP="00530CF2">
            <w:pPr>
              <w:contextualSpacing/>
              <w:jc w:val="right"/>
              <w:rPr>
                <w:rFonts w:ascii="Arial" w:hAnsi="Arial" w:cs="Arial"/>
                <w:sz w:val="20"/>
                <w:szCs w:val="20"/>
              </w:rPr>
            </w:pPr>
            <w:r w:rsidRPr="00DD509F">
              <w:rPr>
                <w:rFonts w:ascii="Arial" w:hAnsi="Arial" w:cs="Arial"/>
                <w:sz w:val="20"/>
                <w:szCs w:val="20"/>
              </w:rPr>
              <w:t>66,489</w:t>
            </w:r>
          </w:p>
        </w:tc>
      </w:tr>
    </w:tbl>
    <w:p w:rsidR="00B44B33" w:rsidRPr="00DD509F" w:rsidRDefault="00B44B33" w:rsidP="00196068">
      <w:pPr>
        <w:widowControl/>
        <w:adjustRightInd w:val="0"/>
        <w:rPr>
          <w:rFonts w:ascii="Arial" w:hAnsi="Arial" w:cs="Arial"/>
          <w:sz w:val="20"/>
          <w:szCs w:val="20"/>
        </w:rPr>
        <w:sectPr w:rsidR="00B44B33" w:rsidRPr="00DD509F" w:rsidSect="000C61D6">
          <w:pgSz w:w="11904" w:h="16843"/>
          <w:pgMar w:top="1440" w:right="1440" w:bottom="1440" w:left="1440" w:header="720" w:footer="720" w:gutter="0"/>
          <w:cols w:space="720"/>
          <w:noEndnote/>
          <w:docGrid w:linePitch="326"/>
        </w:sectPr>
      </w:pPr>
    </w:p>
    <w:p w:rsidR="00B44B33" w:rsidRPr="00DD509F" w:rsidRDefault="00B44B33" w:rsidP="00196068">
      <w:pPr>
        <w:rPr>
          <w:rFonts w:ascii="Arial" w:hAnsi="Arial" w:cs="Arial"/>
          <w:b/>
          <w:bCs/>
          <w:sz w:val="20"/>
          <w:szCs w:val="20"/>
        </w:rPr>
      </w:pPr>
      <w:r w:rsidRPr="00DD509F">
        <w:rPr>
          <w:rFonts w:ascii="Arial" w:hAnsi="Arial" w:cs="Arial"/>
          <w:b/>
          <w:bCs/>
          <w:sz w:val="20"/>
          <w:szCs w:val="20"/>
        </w:rPr>
        <w:t xml:space="preserve">Condensed consolidated </w:t>
      </w:r>
      <w:r>
        <w:rPr>
          <w:rFonts w:ascii="Arial" w:hAnsi="Arial" w:cs="Arial"/>
          <w:b/>
          <w:bCs/>
          <w:sz w:val="20"/>
          <w:szCs w:val="20"/>
        </w:rPr>
        <w:t>S</w:t>
      </w:r>
      <w:r w:rsidRPr="00DD509F">
        <w:rPr>
          <w:rFonts w:ascii="Arial" w:hAnsi="Arial" w:cs="Arial"/>
          <w:b/>
          <w:bCs/>
          <w:sz w:val="20"/>
          <w:szCs w:val="20"/>
        </w:rPr>
        <w:t xml:space="preserve">tatement of </w:t>
      </w:r>
      <w:r>
        <w:rPr>
          <w:rFonts w:ascii="Arial" w:hAnsi="Arial" w:cs="Arial"/>
          <w:b/>
          <w:bCs/>
          <w:sz w:val="20"/>
          <w:szCs w:val="20"/>
        </w:rPr>
        <w:t>C</w:t>
      </w:r>
      <w:r w:rsidRPr="00DD509F">
        <w:rPr>
          <w:rFonts w:ascii="Arial" w:hAnsi="Arial" w:cs="Arial"/>
          <w:b/>
          <w:bCs/>
          <w:sz w:val="20"/>
          <w:szCs w:val="20"/>
        </w:rPr>
        <w:t xml:space="preserve">hanges in </w:t>
      </w:r>
      <w:r>
        <w:rPr>
          <w:rFonts w:ascii="Arial" w:hAnsi="Arial" w:cs="Arial"/>
          <w:b/>
          <w:bCs/>
          <w:sz w:val="20"/>
          <w:szCs w:val="20"/>
        </w:rPr>
        <w:t>E</w:t>
      </w:r>
      <w:r w:rsidRPr="00DD509F">
        <w:rPr>
          <w:rFonts w:ascii="Arial" w:hAnsi="Arial" w:cs="Arial"/>
          <w:b/>
          <w:bCs/>
          <w:sz w:val="20"/>
          <w:szCs w:val="20"/>
        </w:rPr>
        <w:t>quity</w:t>
      </w:r>
    </w:p>
    <w:p w:rsidR="00B44B33" w:rsidRPr="00DD509F" w:rsidRDefault="00B44B33" w:rsidP="00196068">
      <w:pPr>
        <w:spacing w:before="36"/>
        <w:rPr>
          <w:rFonts w:ascii="Arial" w:hAnsi="Arial" w:cs="Arial"/>
          <w:b/>
          <w:bCs/>
          <w:sz w:val="20"/>
          <w:szCs w:val="20"/>
        </w:rPr>
      </w:pPr>
      <w:r w:rsidRPr="00DD509F">
        <w:rPr>
          <w:rFonts w:ascii="Arial" w:hAnsi="Arial" w:cs="Arial"/>
          <w:b/>
          <w:bCs/>
          <w:sz w:val="20"/>
          <w:szCs w:val="20"/>
        </w:rPr>
        <w:t>For the 7 month period from incorporation to 31 December 2012</w:t>
      </w:r>
    </w:p>
    <w:p w:rsidR="00B44B33" w:rsidRPr="00DD509F" w:rsidRDefault="00B44B33" w:rsidP="00196068">
      <w:pPr>
        <w:spacing w:before="36"/>
        <w:rPr>
          <w:rFonts w:ascii="Arial" w:hAnsi="Arial" w:cs="Arial"/>
          <w:b/>
          <w:bCs/>
          <w:sz w:val="20"/>
          <w:szCs w:val="20"/>
        </w:rPr>
      </w:pPr>
    </w:p>
    <w:p w:rsidR="00B44B33" w:rsidRPr="00DD509F" w:rsidRDefault="00B44B33" w:rsidP="00196068">
      <w:pPr>
        <w:spacing w:before="36"/>
        <w:rPr>
          <w:rFonts w:ascii="Arial" w:hAnsi="Arial" w:cs="Arial"/>
          <w:sz w:val="20"/>
          <w:szCs w:val="20"/>
        </w:rPr>
      </w:pPr>
      <w:r w:rsidRPr="00DD509F">
        <w:rPr>
          <w:rFonts w:ascii="Arial" w:hAnsi="Arial" w:cs="Arial"/>
          <w:sz w:val="20"/>
          <w:szCs w:val="20"/>
        </w:rPr>
        <w:t>Attributable to equity holders of the parent</w:t>
      </w:r>
    </w:p>
    <w:p w:rsidR="00B44B33" w:rsidRPr="00DD509F" w:rsidRDefault="00B44B33" w:rsidP="00196068">
      <w:pPr>
        <w:spacing w:before="36"/>
        <w:rPr>
          <w:rFonts w:ascii="Arial" w:hAnsi="Arial" w:cs="Arial"/>
          <w:sz w:val="20"/>
          <w:szCs w:val="20"/>
        </w:rPr>
      </w:pPr>
    </w:p>
    <w:tbl>
      <w:tblPr>
        <w:tblW w:w="9639" w:type="dxa"/>
        <w:tblLook w:val="00A0" w:firstRow="1" w:lastRow="0" w:firstColumn="1" w:lastColumn="0" w:noHBand="0" w:noVBand="0"/>
      </w:tblPr>
      <w:tblGrid>
        <w:gridCol w:w="2625"/>
        <w:gridCol w:w="1395"/>
        <w:gridCol w:w="1647"/>
        <w:gridCol w:w="1435"/>
        <w:gridCol w:w="1414"/>
        <w:gridCol w:w="1123"/>
      </w:tblGrid>
      <w:tr w:rsidR="00B44B33" w:rsidRPr="00DD509F" w:rsidTr="00530CF2">
        <w:trPr>
          <w:trHeight w:val="357"/>
        </w:trPr>
        <w:tc>
          <w:tcPr>
            <w:tcW w:w="2737" w:type="dxa"/>
          </w:tcPr>
          <w:p w:rsidR="00B44B33" w:rsidRPr="00DD509F" w:rsidRDefault="00B44B33" w:rsidP="00530CF2">
            <w:pPr>
              <w:spacing w:before="36"/>
              <w:rPr>
                <w:rFonts w:ascii="Arial" w:hAnsi="Arial" w:cs="Arial"/>
                <w:sz w:val="20"/>
                <w:szCs w:val="20"/>
              </w:rPr>
            </w:pPr>
          </w:p>
        </w:tc>
        <w:tc>
          <w:tcPr>
            <w:tcW w:w="1462" w:type="dxa"/>
          </w:tcPr>
          <w:p w:rsidR="00B44B33" w:rsidRPr="00DD509F" w:rsidRDefault="00B44B33" w:rsidP="00530CF2">
            <w:pPr>
              <w:jc w:val="right"/>
              <w:rPr>
                <w:rFonts w:ascii="Arial" w:hAnsi="Arial" w:cs="Arial"/>
                <w:i/>
                <w:iCs/>
                <w:spacing w:val="-4"/>
                <w:sz w:val="20"/>
                <w:szCs w:val="20"/>
              </w:rPr>
            </w:pPr>
            <w:r w:rsidRPr="00DD509F">
              <w:rPr>
                <w:rFonts w:ascii="Arial" w:hAnsi="Arial" w:cs="Arial"/>
                <w:i/>
                <w:iCs/>
                <w:spacing w:val="-4"/>
                <w:sz w:val="20"/>
                <w:szCs w:val="20"/>
              </w:rPr>
              <w:t>Share</w:t>
            </w:r>
          </w:p>
          <w:p w:rsidR="00B44B33" w:rsidRPr="00DD509F" w:rsidRDefault="00B44B33" w:rsidP="00530CF2">
            <w:pPr>
              <w:spacing w:before="36"/>
              <w:jc w:val="right"/>
              <w:rPr>
                <w:rFonts w:ascii="Arial" w:hAnsi="Arial" w:cs="Arial"/>
                <w:sz w:val="20"/>
                <w:szCs w:val="20"/>
              </w:rPr>
            </w:pPr>
            <w:r w:rsidRPr="00DD509F">
              <w:rPr>
                <w:rFonts w:ascii="Arial" w:hAnsi="Arial" w:cs="Arial"/>
                <w:i/>
                <w:iCs/>
                <w:spacing w:val="-4"/>
                <w:sz w:val="20"/>
                <w:szCs w:val="20"/>
              </w:rPr>
              <w:t>capital</w:t>
            </w:r>
          </w:p>
        </w:tc>
        <w:tc>
          <w:tcPr>
            <w:tcW w:w="1719" w:type="dxa"/>
          </w:tcPr>
          <w:p w:rsidR="00B44B33" w:rsidRPr="00DD509F" w:rsidRDefault="00B44B33" w:rsidP="00530CF2">
            <w:pPr>
              <w:jc w:val="right"/>
              <w:rPr>
                <w:rFonts w:ascii="Arial" w:hAnsi="Arial" w:cs="Arial"/>
                <w:i/>
                <w:iCs/>
                <w:spacing w:val="-4"/>
                <w:sz w:val="20"/>
                <w:szCs w:val="20"/>
              </w:rPr>
            </w:pPr>
            <w:r w:rsidRPr="00DD509F">
              <w:rPr>
                <w:rFonts w:ascii="Arial" w:hAnsi="Arial" w:cs="Arial"/>
                <w:i/>
                <w:iCs/>
                <w:spacing w:val="-4"/>
                <w:sz w:val="20"/>
                <w:szCs w:val="20"/>
              </w:rPr>
              <w:t>Share</w:t>
            </w:r>
          </w:p>
          <w:p w:rsidR="00B44B33" w:rsidRPr="00DD509F" w:rsidRDefault="00B44B33" w:rsidP="00530CF2">
            <w:pPr>
              <w:spacing w:before="36"/>
              <w:jc w:val="right"/>
              <w:rPr>
                <w:rFonts w:ascii="Arial" w:hAnsi="Arial" w:cs="Arial"/>
                <w:sz w:val="20"/>
                <w:szCs w:val="20"/>
              </w:rPr>
            </w:pPr>
            <w:r w:rsidRPr="00DD509F">
              <w:rPr>
                <w:rFonts w:ascii="Arial" w:hAnsi="Arial" w:cs="Arial"/>
                <w:i/>
                <w:iCs/>
                <w:spacing w:val="-4"/>
                <w:sz w:val="20"/>
                <w:szCs w:val="20"/>
              </w:rPr>
              <w:t>premium</w:t>
            </w:r>
          </w:p>
        </w:tc>
        <w:tc>
          <w:tcPr>
            <w:tcW w:w="1483" w:type="dxa"/>
          </w:tcPr>
          <w:p w:rsidR="00B44B33" w:rsidRPr="00DD509F" w:rsidRDefault="00B44B33" w:rsidP="00530CF2">
            <w:pPr>
              <w:jc w:val="right"/>
              <w:rPr>
                <w:rFonts w:ascii="Arial" w:hAnsi="Arial" w:cs="Arial"/>
                <w:i/>
                <w:iCs/>
                <w:spacing w:val="-4"/>
                <w:sz w:val="20"/>
                <w:szCs w:val="20"/>
              </w:rPr>
            </w:pPr>
            <w:r w:rsidRPr="00DD509F">
              <w:rPr>
                <w:rFonts w:ascii="Arial" w:hAnsi="Arial" w:cs="Arial"/>
                <w:i/>
                <w:iCs/>
                <w:spacing w:val="-4"/>
                <w:sz w:val="20"/>
                <w:szCs w:val="20"/>
              </w:rPr>
              <w:t>Retained</w:t>
            </w:r>
          </w:p>
          <w:p w:rsidR="00B44B33" w:rsidRPr="00DD509F" w:rsidRDefault="00B44B33" w:rsidP="00530CF2">
            <w:pPr>
              <w:spacing w:before="36"/>
              <w:jc w:val="right"/>
              <w:rPr>
                <w:rFonts w:ascii="Arial" w:hAnsi="Arial" w:cs="Arial"/>
                <w:sz w:val="20"/>
                <w:szCs w:val="20"/>
              </w:rPr>
            </w:pPr>
            <w:r w:rsidRPr="00DD509F">
              <w:rPr>
                <w:rFonts w:ascii="Arial" w:hAnsi="Arial" w:cs="Arial"/>
                <w:i/>
                <w:iCs/>
                <w:spacing w:val="-4"/>
                <w:sz w:val="20"/>
                <w:szCs w:val="20"/>
              </w:rPr>
              <w:t>earnings</w:t>
            </w:r>
          </w:p>
        </w:tc>
        <w:tc>
          <w:tcPr>
            <w:tcW w:w="1434" w:type="dxa"/>
          </w:tcPr>
          <w:p w:rsidR="00B44B33" w:rsidRPr="00DD509F" w:rsidRDefault="00B44B33" w:rsidP="00530CF2">
            <w:pPr>
              <w:jc w:val="right"/>
              <w:rPr>
                <w:rFonts w:ascii="Arial" w:hAnsi="Arial" w:cs="Arial"/>
                <w:i/>
                <w:iCs/>
                <w:spacing w:val="-4"/>
                <w:sz w:val="20"/>
                <w:szCs w:val="20"/>
              </w:rPr>
            </w:pPr>
            <w:r w:rsidRPr="00DD509F">
              <w:rPr>
                <w:rFonts w:ascii="Arial" w:hAnsi="Arial" w:cs="Arial"/>
                <w:i/>
                <w:iCs/>
                <w:spacing w:val="-4"/>
                <w:sz w:val="20"/>
                <w:szCs w:val="20"/>
              </w:rPr>
              <w:t>Revaluation</w:t>
            </w:r>
          </w:p>
          <w:p w:rsidR="00B44B33" w:rsidRPr="00DD509F" w:rsidRDefault="00B44B33" w:rsidP="00530CF2">
            <w:pPr>
              <w:spacing w:before="36"/>
              <w:jc w:val="right"/>
              <w:rPr>
                <w:rFonts w:ascii="Arial" w:hAnsi="Arial" w:cs="Arial"/>
                <w:sz w:val="20"/>
                <w:szCs w:val="20"/>
              </w:rPr>
            </w:pPr>
            <w:r w:rsidRPr="00DD509F">
              <w:rPr>
                <w:rFonts w:ascii="Arial" w:hAnsi="Arial" w:cs="Arial"/>
                <w:i/>
                <w:iCs/>
                <w:spacing w:val="-4"/>
                <w:sz w:val="20"/>
                <w:szCs w:val="20"/>
              </w:rPr>
              <w:t>reserve</w:t>
            </w:r>
          </w:p>
        </w:tc>
        <w:tc>
          <w:tcPr>
            <w:tcW w:w="1152" w:type="dxa"/>
          </w:tcPr>
          <w:p w:rsidR="00B44B33" w:rsidRPr="00DD509F" w:rsidRDefault="00B44B33" w:rsidP="00530CF2">
            <w:pPr>
              <w:spacing w:before="36"/>
              <w:jc w:val="right"/>
              <w:rPr>
                <w:rFonts w:ascii="Arial" w:hAnsi="Arial" w:cs="Arial"/>
                <w:sz w:val="20"/>
                <w:szCs w:val="20"/>
              </w:rPr>
            </w:pPr>
            <w:r w:rsidRPr="00DD509F">
              <w:rPr>
                <w:rFonts w:ascii="Arial" w:hAnsi="Arial" w:cs="Arial"/>
                <w:i/>
                <w:iCs/>
                <w:spacing w:val="-4"/>
                <w:sz w:val="20"/>
                <w:szCs w:val="20"/>
              </w:rPr>
              <w:t>Total</w:t>
            </w:r>
          </w:p>
        </w:tc>
      </w:tr>
      <w:tr w:rsidR="00B44B33" w:rsidRPr="00DD509F" w:rsidTr="00530CF2">
        <w:trPr>
          <w:trHeight w:val="192"/>
        </w:trPr>
        <w:tc>
          <w:tcPr>
            <w:tcW w:w="2737" w:type="dxa"/>
          </w:tcPr>
          <w:p w:rsidR="00B44B33" w:rsidRPr="00DD509F" w:rsidRDefault="00B44B33" w:rsidP="00530CF2">
            <w:pPr>
              <w:spacing w:before="36"/>
              <w:rPr>
                <w:rFonts w:ascii="Arial" w:hAnsi="Arial" w:cs="Arial"/>
                <w:sz w:val="20"/>
                <w:szCs w:val="20"/>
              </w:rPr>
            </w:pPr>
          </w:p>
        </w:tc>
        <w:tc>
          <w:tcPr>
            <w:tcW w:w="1462"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i/>
                <w:iCs/>
                <w:spacing w:val="-4"/>
                <w:sz w:val="20"/>
                <w:szCs w:val="20"/>
              </w:rPr>
              <w:t>£’000</w:t>
            </w:r>
          </w:p>
        </w:tc>
        <w:tc>
          <w:tcPr>
            <w:tcW w:w="1719"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i/>
                <w:iCs/>
                <w:spacing w:val="-4"/>
                <w:sz w:val="20"/>
                <w:szCs w:val="20"/>
              </w:rPr>
              <w:t>£’000</w:t>
            </w:r>
          </w:p>
        </w:tc>
        <w:tc>
          <w:tcPr>
            <w:tcW w:w="1483"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i/>
                <w:iCs/>
                <w:spacing w:val="-4"/>
                <w:sz w:val="20"/>
                <w:szCs w:val="20"/>
              </w:rPr>
              <w:t>£’000</w:t>
            </w:r>
          </w:p>
        </w:tc>
        <w:tc>
          <w:tcPr>
            <w:tcW w:w="1434"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i/>
                <w:iCs/>
                <w:spacing w:val="-4"/>
                <w:sz w:val="20"/>
                <w:szCs w:val="20"/>
              </w:rPr>
              <w:t>£’000</w:t>
            </w:r>
          </w:p>
        </w:tc>
        <w:tc>
          <w:tcPr>
            <w:tcW w:w="1152"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i/>
                <w:iCs/>
                <w:spacing w:val="-4"/>
                <w:sz w:val="20"/>
                <w:szCs w:val="20"/>
              </w:rPr>
              <w:t>£’000</w:t>
            </w:r>
          </w:p>
        </w:tc>
      </w:tr>
      <w:tr w:rsidR="00B44B33" w:rsidRPr="00DD509F" w:rsidTr="00530CF2">
        <w:trPr>
          <w:trHeight w:val="344"/>
        </w:trPr>
        <w:tc>
          <w:tcPr>
            <w:tcW w:w="2737" w:type="dxa"/>
          </w:tcPr>
          <w:p w:rsidR="00B44B33" w:rsidRPr="00DD509F" w:rsidRDefault="00B44B33" w:rsidP="00530CF2">
            <w:pPr>
              <w:spacing w:before="36"/>
              <w:rPr>
                <w:rFonts w:ascii="Arial" w:hAnsi="Arial" w:cs="Arial"/>
                <w:sz w:val="20"/>
                <w:szCs w:val="20"/>
              </w:rPr>
            </w:pPr>
            <w:r w:rsidRPr="00DD509F">
              <w:rPr>
                <w:rFonts w:ascii="Arial" w:hAnsi="Arial" w:cs="Arial"/>
                <w:sz w:val="20"/>
                <w:szCs w:val="20"/>
              </w:rPr>
              <w:t>Equity shareholders’ funds at incorporation</w:t>
            </w:r>
          </w:p>
        </w:tc>
        <w:tc>
          <w:tcPr>
            <w:tcW w:w="1462"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719"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483"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434"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152"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r>
      <w:tr w:rsidR="00B44B33" w:rsidRPr="00DD509F" w:rsidTr="00530CF2">
        <w:trPr>
          <w:trHeight w:val="179"/>
        </w:trPr>
        <w:tc>
          <w:tcPr>
            <w:tcW w:w="2737" w:type="dxa"/>
          </w:tcPr>
          <w:p w:rsidR="00B44B33" w:rsidRPr="00DD509F" w:rsidRDefault="00B44B33" w:rsidP="00530CF2">
            <w:pPr>
              <w:spacing w:before="36"/>
              <w:rPr>
                <w:rFonts w:ascii="Arial" w:hAnsi="Arial" w:cs="Arial"/>
                <w:sz w:val="20"/>
                <w:szCs w:val="20"/>
              </w:rPr>
            </w:pPr>
            <w:r w:rsidRPr="00DD509F">
              <w:rPr>
                <w:rFonts w:ascii="Arial" w:hAnsi="Arial" w:cs="Arial"/>
                <w:sz w:val="20"/>
                <w:szCs w:val="20"/>
              </w:rPr>
              <w:t>Share capital issued</w:t>
            </w:r>
          </w:p>
        </w:tc>
        <w:tc>
          <w:tcPr>
            <w:tcW w:w="1462"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651</w:t>
            </w:r>
          </w:p>
        </w:tc>
        <w:tc>
          <w:tcPr>
            <w:tcW w:w="1719"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30,147</w:t>
            </w:r>
          </w:p>
        </w:tc>
        <w:tc>
          <w:tcPr>
            <w:tcW w:w="1483"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434"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152"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30,</w:t>
            </w:r>
            <w:r>
              <w:rPr>
                <w:rFonts w:ascii="Arial" w:hAnsi="Arial" w:cs="Arial"/>
                <w:sz w:val="20"/>
                <w:szCs w:val="20"/>
              </w:rPr>
              <w:t>798</w:t>
            </w:r>
          </w:p>
        </w:tc>
      </w:tr>
      <w:tr w:rsidR="00B44B33" w:rsidRPr="00DD509F" w:rsidTr="00530CF2">
        <w:trPr>
          <w:trHeight w:val="192"/>
        </w:trPr>
        <w:tc>
          <w:tcPr>
            <w:tcW w:w="2737" w:type="dxa"/>
          </w:tcPr>
          <w:p w:rsidR="00B44B33" w:rsidRPr="00DD509F" w:rsidRDefault="00B44B33" w:rsidP="00530CF2">
            <w:pPr>
              <w:spacing w:before="36"/>
              <w:rPr>
                <w:rFonts w:ascii="Arial" w:hAnsi="Arial" w:cs="Arial"/>
                <w:sz w:val="20"/>
                <w:szCs w:val="20"/>
              </w:rPr>
            </w:pPr>
            <w:r w:rsidRPr="00DD509F">
              <w:rPr>
                <w:rFonts w:ascii="Arial" w:hAnsi="Arial" w:cs="Arial"/>
                <w:sz w:val="20"/>
                <w:szCs w:val="20"/>
              </w:rPr>
              <w:t>Profit for the period</w:t>
            </w:r>
          </w:p>
        </w:tc>
        <w:tc>
          <w:tcPr>
            <w:tcW w:w="1462"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719"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483"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9,314</w:t>
            </w:r>
          </w:p>
        </w:tc>
        <w:tc>
          <w:tcPr>
            <w:tcW w:w="1434"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152"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9,314</w:t>
            </w:r>
          </w:p>
        </w:tc>
      </w:tr>
      <w:tr w:rsidR="00B44B33" w:rsidRPr="00DD509F" w:rsidTr="00530CF2">
        <w:trPr>
          <w:trHeight w:val="179"/>
        </w:trPr>
        <w:tc>
          <w:tcPr>
            <w:tcW w:w="2737" w:type="dxa"/>
          </w:tcPr>
          <w:p w:rsidR="00B44B33" w:rsidRPr="00DD509F" w:rsidRDefault="00B44B33" w:rsidP="00530CF2">
            <w:pPr>
              <w:spacing w:before="36"/>
              <w:rPr>
                <w:rFonts w:ascii="Arial" w:hAnsi="Arial" w:cs="Arial"/>
                <w:sz w:val="20"/>
                <w:szCs w:val="20"/>
              </w:rPr>
            </w:pPr>
            <w:r w:rsidRPr="00DD509F">
              <w:rPr>
                <w:rFonts w:ascii="Arial" w:hAnsi="Arial" w:cs="Arial"/>
                <w:sz w:val="20"/>
                <w:szCs w:val="20"/>
              </w:rPr>
              <w:t>Revaluation movement</w:t>
            </w:r>
          </w:p>
        </w:tc>
        <w:tc>
          <w:tcPr>
            <w:tcW w:w="1462"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719"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483"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434"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33,988</w:t>
            </w:r>
          </w:p>
        </w:tc>
        <w:tc>
          <w:tcPr>
            <w:tcW w:w="1152" w:type="dxa"/>
            <w:vAlign w:val="bottom"/>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33,988</w:t>
            </w:r>
          </w:p>
        </w:tc>
      </w:tr>
      <w:tr w:rsidR="00B44B33" w:rsidRPr="00DD509F" w:rsidTr="00530CF2">
        <w:trPr>
          <w:trHeight w:val="511"/>
        </w:trPr>
        <w:tc>
          <w:tcPr>
            <w:tcW w:w="2737" w:type="dxa"/>
          </w:tcPr>
          <w:p w:rsidR="00B44B33" w:rsidRPr="00DD509F" w:rsidRDefault="00B44B33" w:rsidP="00530CF2">
            <w:pPr>
              <w:spacing w:before="36"/>
              <w:rPr>
                <w:rFonts w:ascii="Arial" w:hAnsi="Arial" w:cs="Arial"/>
                <w:sz w:val="20"/>
                <w:szCs w:val="20"/>
              </w:rPr>
            </w:pPr>
            <w:r w:rsidRPr="00DD509F">
              <w:rPr>
                <w:rFonts w:ascii="Arial" w:hAnsi="Arial" w:cs="Arial"/>
                <w:sz w:val="20"/>
                <w:szCs w:val="20"/>
              </w:rPr>
              <w:t xml:space="preserve">Deferred </w:t>
            </w:r>
            <w:r>
              <w:rPr>
                <w:rFonts w:ascii="Arial" w:hAnsi="Arial" w:cs="Arial"/>
                <w:sz w:val="20"/>
                <w:szCs w:val="20"/>
              </w:rPr>
              <w:t>t</w:t>
            </w:r>
            <w:r w:rsidRPr="00DD509F">
              <w:rPr>
                <w:rFonts w:ascii="Arial" w:hAnsi="Arial" w:cs="Arial"/>
                <w:sz w:val="20"/>
                <w:szCs w:val="20"/>
              </w:rPr>
              <w:t>ax liability relating to components of other comprehensive income</w:t>
            </w:r>
          </w:p>
        </w:tc>
        <w:tc>
          <w:tcPr>
            <w:tcW w:w="1462" w:type="dxa"/>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719" w:type="dxa"/>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483" w:type="dxa"/>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c>
          <w:tcPr>
            <w:tcW w:w="1434" w:type="dxa"/>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(7,817)</w:t>
            </w:r>
          </w:p>
        </w:tc>
        <w:tc>
          <w:tcPr>
            <w:tcW w:w="1152" w:type="dxa"/>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(7,817)</w:t>
            </w:r>
          </w:p>
        </w:tc>
      </w:tr>
      <w:tr w:rsidR="00B44B33" w:rsidRPr="00DD509F" w:rsidTr="00530CF2">
        <w:trPr>
          <w:trHeight w:val="511"/>
        </w:trPr>
        <w:tc>
          <w:tcPr>
            <w:tcW w:w="2737" w:type="dxa"/>
          </w:tcPr>
          <w:p w:rsidR="00B44B33" w:rsidRPr="00DD509F" w:rsidRDefault="00B44B33" w:rsidP="00530CF2">
            <w:pPr>
              <w:spacing w:before="36"/>
              <w:rPr>
                <w:rFonts w:ascii="Arial" w:hAnsi="Arial" w:cs="Arial"/>
                <w:sz w:val="20"/>
                <w:szCs w:val="20"/>
              </w:rPr>
            </w:pPr>
            <w:r w:rsidRPr="00DD509F">
              <w:rPr>
                <w:rFonts w:ascii="Arial" w:hAnsi="Arial" w:cs="Arial"/>
                <w:sz w:val="20"/>
                <w:szCs w:val="20"/>
              </w:rPr>
              <w:t xml:space="preserve">Transfer from revaluation reserve to </w:t>
            </w:r>
            <w:r>
              <w:rPr>
                <w:rFonts w:ascii="Arial" w:hAnsi="Arial" w:cs="Arial"/>
                <w:sz w:val="20"/>
                <w:szCs w:val="20"/>
              </w:rPr>
              <w:t>retained earnings</w:t>
            </w:r>
          </w:p>
        </w:tc>
        <w:tc>
          <w:tcPr>
            <w:tcW w:w="1462" w:type="dxa"/>
            <w:tcBorders>
              <w:bottom w:val="single" w:sz="4" w:space="0" w:color="auto"/>
            </w:tcBorders>
          </w:tcPr>
          <w:p w:rsidR="00B44B33" w:rsidRPr="00DD509F" w:rsidRDefault="00B44B33" w:rsidP="00530CF2">
            <w:pPr>
              <w:spacing w:before="36"/>
              <w:jc w:val="right"/>
              <w:rPr>
                <w:rFonts w:ascii="Arial" w:hAnsi="Arial" w:cs="Arial"/>
                <w:sz w:val="20"/>
                <w:szCs w:val="20"/>
              </w:rPr>
            </w:pPr>
          </w:p>
        </w:tc>
        <w:tc>
          <w:tcPr>
            <w:tcW w:w="1719" w:type="dxa"/>
            <w:tcBorders>
              <w:bottom w:val="single" w:sz="4" w:space="0" w:color="auto"/>
            </w:tcBorders>
          </w:tcPr>
          <w:p w:rsidR="00B44B33" w:rsidRPr="00DD509F" w:rsidRDefault="00B44B33" w:rsidP="00530CF2">
            <w:pPr>
              <w:spacing w:before="36"/>
              <w:jc w:val="right"/>
              <w:rPr>
                <w:rFonts w:ascii="Arial" w:hAnsi="Arial" w:cs="Arial"/>
                <w:sz w:val="20"/>
                <w:szCs w:val="20"/>
              </w:rPr>
            </w:pPr>
          </w:p>
        </w:tc>
        <w:tc>
          <w:tcPr>
            <w:tcW w:w="1483" w:type="dxa"/>
            <w:tcBorders>
              <w:bottom w:val="single" w:sz="4" w:space="0" w:color="auto"/>
            </w:tcBorders>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155</w:t>
            </w:r>
          </w:p>
        </w:tc>
        <w:tc>
          <w:tcPr>
            <w:tcW w:w="1434" w:type="dxa"/>
            <w:tcBorders>
              <w:bottom w:val="single" w:sz="4" w:space="0" w:color="auto"/>
            </w:tcBorders>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(155)</w:t>
            </w:r>
          </w:p>
        </w:tc>
        <w:tc>
          <w:tcPr>
            <w:tcW w:w="1152" w:type="dxa"/>
            <w:tcBorders>
              <w:bottom w:val="single" w:sz="4" w:space="0" w:color="auto"/>
            </w:tcBorders>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w:t>
            </w:r>
          </w:p>
        </w:tc>
      </w:tr>
      <w:tr w:rsidR="00B44B33" w:rsidRPr="00DD509F" w:rsidTr="00530CF2">
        <w:trPr>
          <w:trHeight w:val="511"/>
        </w:trPr>
        <w:tc>
          <w:tcPr>
            <w:tcW w:w="2737" w:type="dxa"/>
          </w:tcPr>
          <w:p w:rsidR="00B44B33" w:rsidRPr="00DD509F" w:rsidRDefault="00B44B33" w:rsidP="00530CF2">
            <w:pPr>
              <w:spacing w:before="36"/>
              <w:rPr>
                <w:rFonts w:ascii="Arial" w:hAnsi="Arial" w:cs="Arial"/>
                <w:sz w:val="20"/>
                <w:szCs w:val="20"/>
              </w:rPr>
            </w:pPr>
            <w:r w:rsidRPr="00DD509F">
              <w:rPr>
                <w:rFonts w:ascii="Arial" w:hAnsi="Arial" w:cs="Arial"/>
                <w:sz w:val="20"/>
                <w:szCs w:val="20"/>
              </w:rPr>
              <w:t xml:space="preserve">Equity shareholders’ funds </w:t>
            </w:r>
          </w:p>
          <w:p w:rsidR="00B44B33" w:rsidRPr="00DD509F" w:rsidRDefault="00B44B33" w:rsidP="00530CF2">
            <w:pPr>
              <w:spacing w:before="36"/>
              <w:rPr>
                <w:rFonts w:ascii="Arial" w:hAnsi="Arial" w:cs="Arial"/>
                <w:sz w:val="20"/>
                <w:szCs w:val="20"/>
              </w:rPr>
            </w:pPr>
            <w:r w:rsidRPr="00DD509F">
              <w:rPr>
                <w:rFonts w:ascii="Arial" w:hAnsi="Arial" w:cs="Arial"/>
                <w:sz w:val="20"/>
                <w:szCs w:val="20"/>
              </w:rPr>
              <w:t>at 31 December 2012</w:t>
            </w:r>
          </w:p>
        </w:tc>
        <w:tc>
          <w:tcPr>
            <w:tcW w:w="1462" w:type="dxa"/>
            <w:tcBorders>
              <w:top w:val="single" w:sz="4" w:space="0" w:color="auto"/>
              <w:bottom w:val="single" w:sz="4" w:space="0" w:color="auto"/>
            </w:tcBorders>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651</w:t>
            </w:r>
          </w:p>
        </w:tc>
        <w:tc>
          <w:tcPr>
            <w:tcW w:w="1719" w:type="dxa"/>
            <w:tcBorders>
              <w:top w:val="single" w:sz="4" w:space="0" w:color="auto"/>
              <w:bottom w:val="single" w:sz="4" w:space="0" w:color="auto"/>
            </w:tcBorders>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30,147</w:t>
            </w:r>
          </w:p>
        </w:tc>
        <w:tc>
          <w:tcPr>
            <w:tcW w:w="1483" w:type="dxa"/>
            <w:tcBorders>
              <w:top w:val="single" w:sz="4" w:space="0" w:color="auto"/>
              <w:bottom w:val="single" w:sz="4" w:space="0" w:color="auto"/>
            </w:tcBorders>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9,469</w:t>
            </w:r>
          </w:p>
        </w:tc>
        <w:tc>
          <w:tcPr>
            <w:tcW w:w="1434" w:type="dxa"/>
            <w:tcBorders>
              <w:top w:val="single" w:sz="4" w:space="0" w:color="auto"/>
              <w:bottom w:val="single" w:sz="4" w:space="0" w:color="auto"/>
            </w:tcBorders>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26,016</w:t>
            </w:r>
          </w:p>
        </w:tc>
        <w:tc>
          <w:tcPr>
            <w:tcW w:w="1152" w:type="dxa"/>
            <w:tcBorders>
              <w:top w:val="single" w:sz="4" w:space="0" w:color="auto"/>
              <w:bottom w:val="single" w:sz="4" w:space="0" w:color="auto"/>
            </w:tcBorders>
          </w:tcPr>
          <w:p w:rsidR="00B44B33" w:rsidRPr="00DD509F" w:rsidRDefault="00B44B33" w:rsidP="00530CF2">
            <w:pPr>
              <w:spacing w:before="36"/>
              <w:jc w:val="right"/>
              <w:rPr>
                <w:rFonts w:ascii="Arial" w:hAnsi="Arial" w:cs="Arial"/>
                <w:sz w:val="20"/>
                <w:szCs w:val="20"/>
              </w:rPr>
            </w:pPr>
            <w:r w:rsidRPr="00DD509F">
              <w:rPr>
                <w:rFonts w:ascii="Arial" w:hAnsi="Arial" w:cs="Arial"/>
                <w:sz w:val="20"/>
                <w:szCs w:val="20"/>
              </w:rPr>
              <w:t>66,283</w:t>
            </w:r>
          </w:p>
        </w:tc>
      </w:tr>
    </w:tbl>
    <w:p w:rsidR="00B44B33" w:rsidRPr="00DD509F" w:rsidRDefault="00B44B33" w:rsidP="00196068">
      <w:pPr>
        <w:spacing w:before="160" w:line="20" w:lineRule="exact"/>
        <w:jc w:val="center"/>
        <w:rPr>
          <w:rFonts w:ascii="Arial" w:hAnsi="Arial" w:cs="Arial"/>
          <w:sz w:val="20"/>
          <w:szCs w:val="20"/>
        </w:rPr>
        <w:sectPr w:rsidR="00B44B33" w:rsidRPr="00DD509F" w:rsidSect="000C61D6">
          <w:pgSz w:w="11904" w:h="16843"/>
          <w:pgMar w:top="1440" w:right="1440" w:bottom="1440" w:left="1440" w:header="720" w:footer="720" w:gutter="0"/>
          <w:cols w:space="720"/>
          <w:noEndnote/>
          <w:docGrid w:linePitch="326"/>
        </w:sectPr>
      </w:pPr>
    </w:p>
    <w:p w:rsidR="00B44B33" w:rsidRDefault="00B44B33" w:rsidP="00196068">
      <w:pPr>
        <w:spacing w:before="108"/>
        <w:ind w:left="8568"/>
        <w:rPr>
          <w:rFonts w:ascii="Arial" w:hAnsi="Arial" w:cs="Arial"/>
          <w:b/>
          <w:bCs/>
          <w:sz w:val="20"/>
          <w:szCs w:val="20"/>
        </w:rPr>
      </w:pPr>
    </w:p>
    <w:tbl>
      <w:tblPr>
        <w:tblW w:w="9639" w:type="dxa"/>
        <w:tblInd w:w="-34" w:type="dxa"/>
        <w:tblLook w:val="00A0" w:firstRow="1" w:lastRow="0" w:firstColumn="1" w:lastColumn="0" w:noHBand="0" w:noVBand="0"/>
      </w:tblPr>
      <w:tblGrid>
        <w:gridCol w:w="7149"/>
        <w:gridCol w:w="917"/>
        <w:gridCol w:w="1573"/>
      </w:tblGrid>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b/>
                <w:bCs/>
                <w:sz w:val="20"/>
                <w:szCs w:val="20"/>
              </w:rPr>
              <w:t xml:space="preserve">Condensed consolidated </w:t>
            </w:r>
            <w:r>
              <w:rPr>
                <w:rFonts w:ascii="Arial" w:hAnsi="Arial" w:cs="Arial"/>
                <w:b/>
                <w:bCs/>
                <w:sz w:val="20"/>
                <w:szCs w:val="20"/>
              </w:rPr>
              <w:t>S</w:t>
            </w:r>
            <w:r w:rsidRPr="00DD509F">
              <w:rPr>
                <w:rFonts w:ascii="Arial" w:hAnsi="Arial" w:cs="Arial"/>
                <w:b/>
                <w:bCs/>
                <w:sz w:val="20"/>
                <w:szCs w:val="20"/>
              </w:rPr>
              <w:t xml:space="preserve">tatement of </w:t>
            </w:r>
            <w:r>
              <w:rPr>
                <w:rFonts w:ascii="Arial" w:hAnsi="Arial" w:cs="Arial"/>
                <w:b/>
                <w:bCs/>
                <w:sz w:val="20"/>
                <w:szCs w:val="20"/>
              </w:rPr>
              <w:t>C</w:t>
            </w:r>
            <w:r w:rsidRPr="00DD509F">
              <w:rPr>
                <w:rFonts w:ascii="Arial" w:hAnsi="Arial" w:cs="Arial"/>
                <w:b/>
                <w:bCs/>
                <w:sz w:val="20"/>
                <w:szCs w:val="20"/>
              </w:rPr>
              <w:t xml:space="preserve">ash </w:t>
            </w:r>
            <w:r>
              <w:rPr>
                <w:rFonts w:ascii="Arial" w:hAnsi="Arial" w:cs="Arial"/>
                <w:b/>
                <w:bCs/>
                <w:sz w:val="20"/>
                <w:szCs w:val="20"/>
              </w:rPr>
              <w:t>F</w:t>
            </w:r>
            <w:r w:rsidRPr="00DD509F">
              <w:rPr>
                <w:rFonts w:ascii="Arial" w:hAnsi="Arial" w:cs="Arial"/>
                <w:b/>
                <w:bCs/>
                <w:sz w:val="20"/>
                <w:szCs w:val="20"/>
              </w:rPr>
              <w:t>lows</w:t>
            </w:r>
          </w:p>
          <w:p w:rsidR="00B44B33" w:rsidRPr="00DD509F" w:rsidRDefault="00B44B33" w:rsidP="00530CF2">
            <w:pPr>
              <w:rPr>
                <w:rFonts w:ascii="Arial" w:hAnsi="Arial" w:cs="Arial"/>
                <w:b/>
                <w:bCs/>
                <w:sz w:val="20"/>
                <w:szCs w:val="20"/>
              </w:rPr>
            </w:pPr>
            <w:r w:rsidRPr="00DD509F">
              <w:rPr>
                <w:rFonts w:ascii="Arial" w:hAnsi="Arial" w:cs="Arial"/>
                <w:b/>
                <w:bCs/>
                <w:sz w:val="20"/>
                <w:szCs w:val="20"/>
              </w:rPr>
              <w:t>For the 7 month period from incorporation to 31 December 2012</w:t>
            </w:r>
          </w:p>
          <w:p w:rsidR="00B44B33" w:rsidRPr="00DD509F" w:rsidRDefault="00B44B33" w:rsidP="001F6C10">
            <w:pPr>
              <w:rPr>
                <w:rFonts w:ascii="Arial" w:hAnsi="Arial" w:cs="Arial"/>
                <w:b/>
                <w:bCs/>
                <w:sz w:val="20"/>
                <w:szCs w:val="20"/>
              </w:rPr>
            </w:pPr>
          </w:p>
        </w:tc>
        <w:tc>
          <w:tcPr>
            <w:tcW w:w="917" w:type="dxa"/>
          </w:tcPr>
          <w:p w:rsidR="00B44B33" w:rsidRPr="000C61D6" w:rsidRDefault="00B44B33" w:rsidP="001F6C10">
            <w:pPr>
              <w:jc w:val="center"/>
              <w:rPr>
                <w:rFonts w:ascii="Arial" w:hAnsi="Arial" w:cs="Arial"/>
                <w:bCs/>
                <w:i/>
                <w:sz w:val="20"/>
                <w:szCs w:val="20"/>
              </w:rPr>
            </w:pPr>
          </w:p>
        </w:tc>
        <w:tc>
          <w:tcPr>
            <w:tcW w:w="1573" w:type="dxa"/>
          </w:tcPr>
          <w:p w:rsidR="00B44B33" w:rsidRPr="000C61D6" w:rsidRDefault="00B44B33" w:rsidP="00530CF2">
            <w:pPr>
              <w:jc w:val="right"/>
              <w:rPr>
                <w:rFonts w:ascii="Arial" w:hAnsi="Arial" w:cs="Arial"/>
                <w:bCs/>
                <w:i/>
                <w:sz w:val="20"/>
                <w:szCs w:val="20"/>
              </w:rPr>
            </w:pPr>
            <w:r w:rsidRPr="000C61D6">
              <w:rPr>
                <w:rFonts w:ascii="Arial" w:hAnsi="Arial" w:cs="Arial"/>
                <w:bCs/>
                <w:i/>
                <w:sz w:val="20"/>
                <w:szCs w:val="20"/>
              </w:rPr>
              <w:t>As at</w:t>
            </w:r>
          </w:p>
          <w:p w:rsidR="00B44B33" w:rsidRPr="000C61D6" w:rsidRDefault="00B44B33" w:rsidP="00530CF2">
            <w:pPr>
              <w:jc w:val="right"/>
              <w:rPr>
                <w:rFonts w:ascii="Arial" w:hAnsi="Arial" w:cs="Arial"/>
                <w:bCs/>
                <w:i/>
                <w:sz w:val="20"/>
                <w:szCs w:val="20"/>
              </w:rPr>
            </w:pPr>
            <w:r w:rsidRPr="000C61D6">
              <w:rPr>
                <w:rFonts w:ascii="Arial" w:hAnsi="Arial" w:cs="Arial"/>
                <w:bCs/>
                <w:i/>
                <w:sz w:val="20"/>
                <w:szCs w:val="20"/>
              </w:rPr>
              <w:t>31 December</w:t>
            </w:r>
          </w:p>
          <w:p w:rsidR="00B44B33" w:rsidRPr="000C61D6" w:rsidRDefault="00B44B33" w:rsidP="00530CF2">
            <w:pPr>
              <w:jc w:val="right"/>
              <w:rPr>
                <w:rFonts w:ascii="Arial" w:hAnsi="Arial" w:cs="Arial"/>
                <w:bCs/>
                <w:i/>
                <w:sz w:val="20"/>
                <w:szCs w:val="20"/>
              </w:rPr>
            </w:pPr>
            <w:r w:rsidRPr="000C61D6">
              <w:rPr>
                <w:rFonts w:ascii="Arial" w:hAnsi="Arial" w:cs="Arial"/>
                <w:bCs/>
                <w:i/>
                <w:sz w:val="20"/>
                <w:szCs w:val="20"/>
              </w:rPr>
              <w:t xml:space="preserve"> 2012</w:t>
            </w:r>
          </w:p>
          <w:p w:rsidR="00B44B33" w:rsidRPr="000C61D6" w:rsidRDefault="00B44B33" w:rsidP="00530CF2">
            <w:pPr>
              <w:jc w:val="right"/>
              <w:rPr>
                <w:rFonts w:ascii="Arial" w:hAnsi="Arial" w:cs="Arial"/>
                <w:bCs/>
                <w:i/>
                <w:sz w:val="20"/>
                <w:szCs w:val="20"/>
              </w:rPr>
            </w:pPr>
          </w:p>
          <w:p w:rsidR="00B44B33" w:rsidRPr="000C61D6" w:rsidRDefault="00B44B33" w:rsidP="00530CF2">
            <w:pPr>
              <w:jc w:val="right"/>
              <w:rPr>
                <w:rFonts w:ascii="Arial" w:hAnsi="Arial" w:cs="Arial"/>
                <w:bCs/>
                <w:i/>
                <w:sz w:val="20"/>
                <w:szCs w:val="20"/>
              </w:rPr>
            </w:pPr>
          </w:p>
          <w:p w:rsidR="00B44B33" w:rsidRPr="000C61D6" w:rsidRDefault="00B44B33" w:rsidP="00530CF2">
            <w:pPr>
              <w:jc w:val="right"/>
              <w:rPr>
                <w:rFonts w:ascii="Arial" w:hAnsi="Arial" w:cs="Arial"/>
                <w:bCs/>
                <w:i/>
                <w:sz w:val="20"/>
                <w:szCs w:val="20"/>
              </w:rPr>
            </w:pPr>
          </w:p>
        </w:tc>
      </w:tr>
      <w:tr w:rsidR="00B44B33" w:rsidRPr="00DD509F" w:rsidTr="00530CF2">
        <w:tc>
          <w:tcPr>
            <w:tcW w:w="7149" w:type="dxa"/>
          </w:tcPr>
          <w:p w:rsidR="00B44B33" w:rsidRPr="00530CF2" w:rsidRDefault="00B44B33" w:rsidP="001F6C10">
            <w:pPr>
              <w:rPr>
                <w:rFonts w:ascii="Arial" w:hAnsi="Arial" w:cs="Arial"/>
                <w:b/>
                <w:bCs/>
                <w:sz w:val="20"/>
                <w:szCs w:val="20"/>
              </w:rPr>
            </w:pPr>
          </w:p>
        </w:tc>
        <w:tc>
          <w:tcPr>
            <w:tcW w:w="917" w:type="dxa"/>
          </w:tcPr>
          <w:p w:rsidR="00B44B33" w:rsidRPr="000C61D6" w:rsidRDefault="00B44B33" w:rsidP="00530CF2">
            <w:pPr>
              <w:jc w:val="center"/>
              <w:rPr>
                <w:rFonts w:ascii="Arial" w:hAnsi="Arial" w:cs="Arial"/>
                <w:bCs/>
                <w:i/>
                <w:sz w:val="20"/>
                <w:szCs w:val="20"/>
              </w:rPr>
            </w:pPr>
            <w:r w:rsidRPr="000C61D6">
              <w:rPr>
                <w:rFonts w:ascii="Arial" w:hAnsi="Arial" w:cs="Arial"/>
                <w:bCs/>
                <w:i/>
                <w:sz w:val="20"/>
                <w:szCs w:val="20"/>
              </w:rPr>
              <w:t>Notes</w:t>
            </w:r>
          </w:p>
        </w:tc>
        <w:tc>
          <w:tcPr>
            <w:tcW w:w="1573" w:type="dxa"/>
          </w:tcPr>
          <w:p w:rsidR="00B44B33" w:rsidRPr="000C61D6" w:rsidRDefault="00B44B33" w:rsidP="00530CF2">
            <w:pPr>
              <w:jc w:val="right"/>
              <w:rPr>
                <w:rFonts w:ascii="Arial" w:hAnsi="Arial" w:cs="Arial"/>
                <w:bCs/>
                <w:i/>
                <w:sz w:val="20"/>
                <w:szCs w:val="20"/>
              </w:rPr>
            </w:pPr>
            <w:r w:rsidRPr="000C61D6">
              <w:rPr>
                <w:rFonts w:ascii="Arial" w:hAnsi="Arial" w:cs="Arial"/>
                <w:bCs/>
                <w:i/>
                <w:sz w:val="20"/>
                <w:szCs w:val="20"/>
              </w:rPr>
              <w:t>£’000</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b/>
                <w:bCs/>
                <w:sz w:val="20"/>
                <w:szCs w:val="20"/>
              </w:rPr>
              <w:t xml:space="preserve">Cash </w:t>
            </w:r>
            <w:r>
              <w:rPr>
                <w:rFonts w:ascii="Arial" w:hAnsi="Arial" w:cs="Arial"/>
                <w:b/>
                <w:bCs/>
                <w:sz w:val="20"/>
                <w:szCs w:val="20"/>
              </w:rPr>
              <w:t>used in</w:t>
            </w:r>
            <w:r w:rsidRPr="00DD509F">
              <w:rPr>
                <w:rFonts w:ascii="Arial" w:hAnsi="Arial" w:cs="Arial"/>
                <w:b/>
                <w:bCs/>
                <w:sz w:val="20"/>
                <w:szCs w:val="20"/>
              </w:rPr>
              <w:t xml:space="preserve"> operations</w:t>
            </w:r>
            <w:r w:rsidRPr="00DD509F">
              <w:rPr>
                <w:rFonts w:ascii="Arial" w:hAnsi="Arial" w:cs="Arial"/>
                <w:b/>
                <w:bCs/>
                <w:sz w:val="20"/>
                <w:szCs w:val="20"/>
              </w:rPr>
              <w:tab/>
            </w:r>
          </w:p>
        </w:tc>
        <w:tc>
          <w:tcPr>
            <w:tcW w:w="917" w:type="dxa"/>
          </w:tcPr>
          <w:p w:rsidR="00B44B33" w:rsidRPr="001F6C10" w:rsidRDefault="00B44B33" w:rsidP="00530CF2">
            <w:pPr>
              <w:jc w:val="center"/>
              <w:rPr>
                <w:rFonts w:ascii="Arial" w:hAnsi="Arial" w:cs="Arial"/>
                <w:bCs/>
                <w:sz w:val="20"/>
                <w:szCs w:val="20"/>
              </w:rPr>
            </w:pPr>
            <w:r w:rsidRPr="001F6C10">
              <w:rPr>
                <w:rFonts w:ascii="Arial" w:hAnsi="Arial" w:cs="Arial"/>
                <w:bCs/>
                <w:sz w:val="20"/>
                <w:szCs w:val="20"/>
              </w:rPr>
              <w:t>15</w:t>
            </w:r>
          </w:p>
        </w:tc>
        <w:tc>
          <w:tcPr>
            <w:tcW w:w="1573" w:type="dxa"/>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(713)</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b/>
                <w:bCs/>
                <w:sz w:val="20"/>
                <w:szCs w:val="20"/>
              </w:rPr>
              <w:t>Cash flows from investing activities:</w:t>
            </w:r>
          </w:p>
        </w:tc>
        <w:tc>
          <w:tcPr>
            <w:tcW w:w="917" w:type="dxa"/>
          </w:tcPr>
          <w:p w:rsidR="00B44B33" w:rsidRPr="001F6C10" w:rsidRDefault="00B44B33" w:rsidP="00530CF2">
            <w:pPr>
              <w:jc w:val="center"/>
              <w:rPr>
                <w:rFonts w:ascii="Arial" w:hAnsi="Arial" w:cs="Arial"/>
                <w:bCs/>
                <w:sz w:val="20"/>
                <w:szCs w:val="20"/>
              </w:rPr>
            </w:pPr>
          </w:p>
        </w:tc>
        <w:tc>
          <w:tcPr>
            <w:tcW w:w="1573" w:type="dxa"/>
          </w:tcPr>
          <w:p w:rsidR="00B44B33" w:rsidRPr="001F6C10" w:rsidRDefault="00B44B33" w:rsidP="00530CF2">
            <w:pPr>
              <w:jc w:val="right"/>
              <w:rPr>
                <w:rFonts w:ascii="Arial" w:hAnsi="Arial" w:cs="Arial"/>
                <w:bCs/>
                <w:sz w:val="20"/>
                <w:szCs w:val="20"/>
              </w:rPr>
            </w:pP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Purchase of trade and assets</w:t>
            </w:r>
            <w:r w:rsidRPr="00DD509F">
              <w:rPr>
                <w:rFonts w:ascii="Arial" w:hAnsi="Arial" w:cs="Arial"/>
                <w:sz w:val="20"/>
                <w:szCs w:val="20"/>
              </w:rPr>
              <w:tab/>
            </w:r>
          </w:p>
        </w:tc>
        <w:tc>
          <w:tcPr>
            <w:tcW w:w="917" w:type="dxa"/>
          </w:tcPr>
          <w:p w:rsidR="00B44B33" w:rsidRPr="001F6C10" w:rsidRDefault="00B44B33" w:rsidP="00530CF2">
            <w:pPr>
              <w:jc w:val="center"/>
              <w:rPr>
                <w:rFonts w:ascii="Arial" w:hAnsi="Arial" w:cs="Arial"/>
                <w:bCs/>
                <w:sz w:val="20"/>
                <w:szCs w:val="20"/>
              </w:rPr>
            </w:pPr>
          </w:p>
        </w:tc>
        <w:tc>
          <w:tcPr>
            <w:tcW w:w="1573" w:type="dxa"/>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(6,750)</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Purchase of intangible assets</w:t>
            </w:r>
          </w:p>
        </w:tc>
        <w:tc>
          <w:tcPr>
            <w:tcW w:w="917" w:type="dxa"/>
          </w:tcPr>
          <w:p w:rsidR="00B44B33" w:rsidRPr="001F6C10" w:rsidRDefault="00B44B33" w:rsidP="00530CF2">
            <w:pPr>
              <w:jc w:val="center"/>
              <w:rPr>
                <w:rFonts w:ascii="Arial" w:hAnsi="Arial" w:cs="Arial"/>
                <w:bCs/>
                <w:sz w:val="20"/>
                <w:szCs w:val="20"/>
              </w:rPr>
            </w:pPr>
          </w:p>
        </w:tc>
        <w:tc>
          <w:tcPr>
            <w:tcW w:w="1573" w:type="dxa"/>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(1,276)</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Purchase of property, plant and equipment`</w:t>
            </w:r>
          </w:p>
        </w:tc>
        <w:tc>
          <w:tcPr>
            <w:tcW w:w="917" w:type="dxa"/>
          </w:tcPr>
          <w:p w:rsidR="00B44B33" w:rsidRPr="001F6C10" w:rsidRDefault="00B44B33" w:rsidP="00530CF2">
            <w:pPr>
              <w:jc w:val="center"/>
              <w:rPr>
                <w:rFonts w:ascii="Arial" w:hAnsi="Arial" w:cs="Arial"/>
                <w:bCs/>
                <w:sz w:val="20"/>
                <w:szCs w:val="20"/>
              </w:rPr>
            </w:pPr>
          </w:p>
        </w:tc>
        <w:tc>
          <w:tcPr>
            <w:tcW w:w="1573" w:type="dxa"/>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(2,161)</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Proceeds from sale of intangible assets</w:t>
            </w:r>
          </w:p>
        </w:tc>
        <w:tc>
          <w:tcPr>
            <w:tcW w:w="917" w:type="dxa"/>
          </w:tcPr>
          <w:p w:rsidR="00B44B33" w:rsidRPr="001F6C10" w:rsidRDefault="00B44B33" w:rsidP="00530CF2">
            <w:pPr>
              <w:jc w:val="center"/>
              <w:rPr>
                <w:rFonts w:ascii="Arial" w:hAnsi="Arial" w:cs="Arial"/>
                <w:bCs/>
                <w:sz w:val="20"/>
                <w:szCs w:val="20"/>
              </w:rPr>
            </w:pPr>
          </w:p>
        </w:tc>
        <w:tc>
          <w:tcPr>
            <w:tcW w:w="1573" w:type="dxa"/>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887</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 xml:space="preserve">Repayment of RFC 2012 plc </w:t>
            </w:r>
            <w:r>
              <w:rPr>
                <w:rFonts w:ascii="Arial" w:hAnsi="Arial" w:cs="Arial"/>
                <w:sz w:val="20"/>
                <w:szCs w:val="20"/>
              </w:rPr>
              <w:t>f</w:t>
            </w:r>
            <w:r w:rsidRPr="00DD509F">
              <w:rPr>
                <w:rFonts w:ascii="Arial" w:hAnsi="Arial" w:cs="Arial"/>
                <w:sz w:val="20"/>
                <w:szCs w:val="20"/>
              </w:rPr>
              <w:t>ootball debt</w:t>
            </w:r>
            <w:r w:rsidRPr="00DD509F">
              <w:rPr>
                <w:rFonts w:ascii="Arial" w:hAnsi="Arial" w:cs="Arial"/>
                <w:sz w:val="20"/>
                <w:szCs w:val="20"/>
              </w:rPr>
              <w:tab/>
            </w:r>
          </w:p>
        </w:tc>
        <w:tc>
          <w:tcPr>
            <w:tcW w:w="917" w:type="dxa"/>
          </w:tcPr>
          <w:p w:rsidR="00B44B33" w:rsidRPr="001F6C10" w:rsidRDefault="00B44B33" w:rsidP="00530CF2">
            <w:pPr>
              <w:jc w:val="center"/>
              <w:rPr>
                <w:rFonts w:ascii="Arial" w:hAnsi="Arial" w:cs="Arial"/>
                <w:bCs/>
                <w:sz w:val="20"/>
                <w:szCs w:val="20"/>
              </w:rPr>
            </w:pPr>
          </w:p>
        </w:tc>
        <w:tc>
          <w:tcPr>
            <w:tcW w:w="1573" w:type="dxa"/>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(1,288)</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Interest paid</w:t>
            </w:r>
            <w:r w:rsidRPr="00DD509F">
              <w:rPr>
                <w:rFonts w:ascii="Arial" w:hAnsi="Arial" w:cs="Arial"/>
                <w:sz w:val="20"/>
                <w:szCs w:val="20"/>
              </w:rPr>
              <w:tab/>
            </w:r>
          </w:p>
        </w:tc>
        <w:tc>
          <w:tcPr>
            <w:tcW w:w="917" w:type="dxa"/>
          </w:tcPr>
          <w:p w:rsidR="00B44B33" w:rsidRPr="001F6C10" w:rsidRDefault="00B44B33" w:rsidP="00530CF2">
            <w:pPr>
              <w:jc w:val="center"/>
              <w:rPr>
                <w:rFonts w:ascii="Arial" w:hAnsi="Arial" w:cs="Arial"/>
                <w:bCs/>
                <w:sz w:val="20"/>
                <w:szCs w:val="20"/>
              </w:rPr>
            </w:pPr>
          </w:p>
        </w:tc>
        <w:tc>
          <w:tcPr>
            <w:tcW w:w="1573" w:type="dxa"/>
            <w:tcBorders>
              <w:bottom w:val="single" w:sz="4" w:space="0" w:color="auto"/>
            </w:tcBorders>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(234)</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b/>
                <w:bCs/>
                <w:sz w:val="20"/>
                <w:szCs w:val="20"/>
              </w:rPr>
              <w:t>Net cash used in investing activities</w:t>
            </w:r>
            <w:r w:rsidRPr="00DD509F">
              <w:rPr>
                <w:rFonts w:ascii="Arial" w:hAnsi="Arial" w:cs="Arial"/>
                <w:b/>
                <w:bCs/>
                <w:sz w:val="20"/>
                <w:szCs w:val="20"/>
              </w:rPr>
              <w:tab/>
            </w:r>
          </w:p>
        </w:tc>
        <w:tc>
          <w:tcPr>
            <w:tcW w:w="917" w:type="dxa"/>
          </w:tcPr>
          <w:p w:rsidR="00B44B33" w:rsidRPr="001F6C10" w:rsidRDefault="00B44B33" w:rsidP="00530CF2">
            <w:pPr>
              <w:jc w:val="center"/>
              <w:rPr>
                <w:rFonts w:ascii="Arial" w:hAnsi="Arial" w:cs="Arial"/>
                <w:bCs/>
                <w:sz w:val="20"/>
                <w:szCs w:val="20"/>
              </w:rPr>
            </w:pPr>
          </w:p>
        </w:tc>
        <w:tc>
          <w:tcPr>
            <w:tcW w:w="1573" w:type="dxa"/>
            <w:tcBorders>
              <w:top w:val="single" w:sz="4" w:space="0" w:color="auto"/>
              <w:bottom w:val="single" w:sz="4" w:space="0" w:color="auto"/>
            </w:tcBorders>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(10,822)</w:t>
            </w:r>
          </w:p>
        </w:tc>
      </w:tr>
      <w:tr w:rsidR="00B44B33" w:rsidRPr="00DD509F" w:rsidTr="00530CF2">
        <w:tc>
          <w:tcPr>
            <w:tcW w:w="7149" w:type="dxa"/>
          </w:tcPr>
          <w:p w:rsidR="00B44B33" w:rsidRPr="00ED1E8D" w:rsidRDefault="00B44B33" w:rsidP="00530CF2">
            <w:pPr>
              <w:rPr>
                <w:rFonts w:ascii="Arial" w:hAnsi="Arial" w:cs="Arial"/>
                <w:b/>
                <w:bCs/>
                <w:sz w:val="20"/>
                <w:szCs w:val="20"/>
              </w:rPr>
            </w:pPr>
            <w:r w:rsidRPr="00AE07D8">
              <w:rPr>
                <w:rFonts w:ascii="Arial" w:hAnsi="Arial" w:cs="Arial"/>
                <w:b/>
                <w:sz w:val="20"/>
                <w:szCs w:val="20"/>
              </w:rPr>
              <w:t>Financing activities</w:t>
            </w:r>
          </w:p>
        </w:tc>
        <w:tc>
          <w:tcPr>
            <w:tcW w:w="917" w:type="dxa"/>
          </w:tcPr>
          <w:p w:rsidR="00B44B33" w:rsidRPr="001F6C10" w:rsidRDefault="00B44B33" w:rsidP="00530CF2">
            <w:pPr>
              <w:jc w:val="center"/>
              <w:rPr>
                <w:rFonts w:ascii="Arial" w:hAnsi="Arial" w:cs="Arial"/>
                <w:bCs/>
                <w:sz w:val="20"/>
                <w:szCs w:val="20"/>
              </w:rPr>
            </w:pPr>
          </w:p>
        </w:tc>
        <w:tc>
          <w:tcPr>
            <w:tcW w:w="1573" w:type="dxa"/>
            <w:tcBorders>
              <w:top w:val="single" w:sz="4" w:space="0" w:color="auto"/>
            </w:tcBorders>
          </w:tcPr>
          <w:p w:rsidR="00B44B33" w:rsidRPr="001F6C10" w:rsidRDefault="00B44B33" w:rsidP="00530CF2">
            <w:pPr>
              <w:jc w:val="right"/>
              <w:rPr>
                <w:rFonts w:ascii="Arial" w:hAnsi="Arial" w:cs="Arial"/>
                <w:bCs/>
                <w:sz w:val="20"/>
                <w:szCs w:val="20"/>
              </w:rPr>
            </w:pP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Lease finance advances</w:t>
            </w:r>
            <w:r w:rsidRPr="00DD509F">
              <w:rPr>
                <w:rFonts w:ascii="Arial" w:hAnsi="Arial" w:cs="Arial"/>
                <w:sz w:val="20"/>
                <w:szCs w:val="20"/>
              </w:rPr>
              <w:tab/>
            </w:r>
          </w:p>
        </w:tc>
        <w:tc>
          <w:tcPr>
            <w:tcW w:w="917" w:type="dxa"/>
          </w:tcPr>
          <w:p w:rsidR="00B44B33" w:rsidRPr="001F6C10" w:rsidRDefault="00B44B33" w:rsidP="00530CF2">
            <w:pPr>
              <w:jc w:val="center"/>
              <w:rPr>
                <w:rFonts w:ascii="Arial" w:hAnsi="Arial" w:cs="Arial"/>
                <w:bCs/>
                <w:sz w:val="20"/>
                <w:szCs w:val="20"/>
              </w:rPr>
            </w:pPr>
          </w:p>
        </w:tc>
        <w:tc>
          <w:tcPr>
            <w:tcW w:w="1573" w:type="dxa"/>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2,152</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Repayment of lease finance</w:t>
            </w:r>
            <w:r w:rsidRPr="00DD509F">
              <w:rPr>
                <w:rFonts w:ascii="Arial" w:hAnsi="Arial" w:cs="Arial"/>
                <w:sz w:val="20"/>
                <w:szCs w:val="20"/>
              </w:rPr>
              <w:tab/>
            </w:r>
          </w:p>
        </w:tc>
        <w:tc>
          <w:tcPr>
            <w:tcW w:w="917" w:type="dxa"/>
          </w:tcPr>
          <w:p w:rsidR="00B44B33" w:rsidRPr="001F6C10" w:rsidRDefault="00B44B33" w:rsidP="00530CF2">
            <w:pPr>
              <w:jc w:val="center"/>
              <w:rPr>
                <w:rFonts w:ascii="Arial" w:hAnsi="Arial" w:cs="Arial"/>
                <w:bCs/>
                <w:sz w:val="20"/>
                <w:szCs w:val="20"/>
              </w:rPr>
            </w:pPr>
          </w:p>
        </w:tc>
        <w:tc>
          <w:tcPr>
            <w:tcW w:w="1573" w:type="dxa"/>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(224)</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Proceeds from issue of shares</w:t>
            </w:r>
            <w:r w:rsidRPr="00DD509F">
              <w:rPr>
                <w:rFonts w:ascii="Arial" w:hAnsi="Arial" w:cs="Arial"/>
                <w:sz w:val="20"/>
                <w:szCs w:val="20"/>
              </w:rPr>
              <w:tab/>
            </w:r>
          </w:p>
        </w:tc>
        <w:tc>
          <w:tcPr>
            <w:tcW w:w="917" w:type="dxa"/>
          </w:tcPr>
          <w:p w:rsidR="00B44B33" w:rsidRPr="001F6C10" w:rsidRDefault="00B44B33" w:rsidP="00530CF2">
            <w:pPr>
              <w:jc w:val="center"/>
              <w:rPr>
                <w:rFonts w:ascii="Arial" w:hAnsi="Arial" w:cs="Arial"/>
                <w:bCs/>
                <w:sz w:val="20"/>
                <w:szCs w:val="20"/>
              </w:rPr>
            </w:pPr>
          </w:p>
        </w:tc>
        <w:tc>
          <w:tcPr>
            <w:tcW w:w="1573" w:type="dxa"/>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30,798</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Loans received</w:t>
            </w:r>
            <w:r w:rsidRPr="00DD509F">
              <w:rPr>
                <w:rFonts w:ascii="Arial" w:hAnsi="Arial" w:cs="Arial"/>
                <w:sz w:val="20"/>
                <w:szCs w:val="20"/>
              </w:rPr>
              <w:tab/>
            </w:r>
          </w:p>
        </w:tc>
        <w:tc>
          <w:tcPr>
            <w:tcW w:w="917" w:type="dxa"/>
          </w:tcPr>
          <w:p w:rsidR="00B44B33" w:rsidRPr="001F6C10" w:rsidRDefault="00B44B33" w:rsidP="00530CF2">
            <w:pPr>
              <w:jc w:val="center"/>
              <w:rPr>
                <w:rFonts w:ascii="Arial" w:hAnsi="Arial" w:cs="Arial"/>
                <w:bCs/>
                <w:sz w:val="20"/>
                <w:szCs w:val="20"/>
              </w:rPr>
            </w:pPr>
          </w:p>
        </w:tc>
        <w:tc>
          <w:tcPr>
            <w:tcW w:w="1573" w:type="dxa"/>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1,815</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Loans repaid</w:t>
            </w:r>
            <w:r w:rsidRPr="00DD509F">
              <w:rPr>
                <w:rFonts w:ascii="Arial" w:hAnsi="Arial" w:cs="Arial"/>
                <w:sz w:val="20"/>
                <w:szCs w:val="20"/>
              </w:rPr>
              <w:tab/>
            </w:r>
          </w:p>
        </w:tc>
        <w:tc>
          <w:tcPr>
            <w:tcW w:w="917" w:type="dxa"/>
          </w:tcPr>
          <w:p w:rsidR="00B44B33" w:rsidRPr="001F6C10" w:rsidRDefault="00B44B33" w:rsidP="00530CF2">
            <w:pPr>
              <w:jc w:val="center"/>
              <w:rPr>
                <w:rFonts w:ascii="Arial" w:hAnsi="Arial" w:cs="Arial"/>
                <w:bCs/>
                <w:sz w:val="20"/>
                <w:szCs w:val="20"/>
              </w:rPr>
            </w:pPr>
          </w:p>
        </w:tc>
        <w:tc>
          <w:tcPr>
            <w:tcW w:w="1573" w:type="dxa"/>
            <w:tcBorders>
              <w:bottom w:val="single" w:sz="4" w:space="0" w:color="auto"/>
            </w:tcBorders>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(1,815)</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b/>
                <w:bCs/>
                <w:sz w:val="20"/>
                <w:szCs w:val="20"/>
              </w:rPr>
              <w:t>Net cash from financing activities</w:t>
            </w:r>
            <w:r w:rsidRPr="00DD509F">
              <w:rPr>
                <w:rFonts w:ascii="Arial" w:hAnsi="Arial" w:cs="Arial"/>
                <w:b/>
                <w:bCs/>
                <w:sz w:val="20"/>
                <w:szCs w:val="20"/>
              </w:rPr>
              <w:tab/>
            </w:r>
          </w:p>
        </w:tc>
        <w:tc>
          <w:tcPr>
            <w:tcW w:w="917" w:type="dxa"/>
          </w:tcPr>
          <w:p w:rsidR="00B44B33" w:rsidRPr="001F6C10" w:rsidRDefault="00B44B33" w:rsidP="00530CF2">
            <w:pPr>
              <w:jc w:val="center"/>
              <w:rPr>
                <w:rFonts w:ascii="Arial" w:hAnsi="Arial" w:cs="Arial"/>
                <w:bCs/>
                <w:sz w:val="20"/>
                <w:szCs w:val="20"/>
              </w:rPr>
            </w:pPr>
          </w:p>
        </w:tc>
        <w:tc>
          <w:tcPr>
            <w:tcW w:w="1573" w:type="dxa"/>
            <w:tcBorders>
              <w:top w:val="single" w:sz="4" w:space="0" w:color="auto"/>
              <w:bottom w:val="single" w:sz="4" w:space="0" w:color="auto"/>
            </w:tcBorders>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32,726</w:t>
            </w:r>
          </w:p>
        </w:tc>
      </w:tr>
      <w:tr w:rsidR="00B44B33" w:rsidRPr="00DD509F" w:rsidTr="00530CF2">
        <w:tc>
          <w:tcPr>
            <w:tcW w:w="7149" w:type="dxa"/>
          </w:tcPr>
          <w:p w:rsidR="00B44B33" w:rsidRPr="00DD509F" w:rsidRDefault="00B44B33" w:rsidP="00530CF2">
            <w:pPr>
              <w:rPr>
                <w:rFonts w:ascii="Arial" w:hAnsi="Arial" w:cs="Arial"/>
                <w:b/>
                <w:bCs/>
                <w:sz w:val="20"/>
                <w:szCs w:val="20"/>
              </w:rPr>
            </w:pPr>
          </w:p>
        </w:tc>
        <w:tc>
          <w:tcPr>
            <w:tcW w:w="917" w:type="dxa"/>
          </w:tcPr>
          <w:p w:rsidR="00B44B33" w:rsidRPr="001F6C10" w:rsidRDefault="00B44B33" w:rsidP="00530CF2">
            <w:pPr>
              <w:jc w:val="center"/>
              <w:rPr>
                <w:rFonts w:ascii="Arial" w:hAnsi="Arial" w:cs="Arial"/>
                <w:bCs/>
                <w:sz w:val="20"/>
                <w:szCs w:val="20"/>
              </w:rPr>
            </w:pPr>
          </w:p>
        </w:tc>
        <w:tc>
          <w:tcPr>
            <w:tcW w:w="1573" w:type="dxa"/>
            <w:tcBorders>
              <w:top w:val="single" w:sz="4" w:space="0" w:color="auto"/>
              <w:bottom w:val="single" w:sz="4" w:space="0" w:color="auto"/>
            </w:tcBorders>
          </w:tcPr>
          <w:p w:rsidR="00B44B33" w:rsidRPr="001F6C10" w:rsidRDefault="00B44B33" w:rsidP="00530CF2">
            <w:pPr>
              <w:jc w:val="right"/>
              <w:rPr>
                <w:rFonts w:ascii="Arial" w:hAnsi="Arial" w:cs="Arial"/>
                <w:bCs/>
                <w:sz w:val="20"/>
                <w:szCs w:val="20"/>
              </w:rPr>
            </w:pP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b/>
                <w:bCs/>
                <w:sz w:val="20"/>
                <w:szCs w:val="20"/>
              </w:rPr>
              <w:t>Net increase in cash and cash equivalents</w:t>
            </w:r>
            <w:r w:rsidRPr="00DD509F">
              <w:rPr>
                <w:rFonts w:ascii="Arial" w:hAnsi="Arial" w:cs="Arial"/>
                <w:b/>
                <w:bCs/>
                <w:sz w:val="20"/>
                <w:szCs w:val="20"/>
              </w:rPr>
              <w:tab/>
            </w:r>
          </w:p>
        </w:tc>
        <w:tc>
          <w:tcPr>
            <w:tcW w:w="917" w:type="dxa"/>
          </w:tcPr>
          <w:p w:rsidR="00B44B33" w:rsidRPr="001F6C10" w:rsidRDefault="00B44B33" w:rsidP="00530CF2">
            <w:pPr>
              <w:jc w:val="center"/>
              <w:rPr>
                <w:rFonts w:ascii="Arial" w:hAnsi="Arial" w:cs="Arial"/>
                <w:bCs/>
                <w:sz w:val="20"/>
                <w:szCs w:val="20"/>
              </w:rPr>
            </w:pPr>
          </w:p>
        </w:tc>
        <w:tc>
          <w:tcPr>
            <w:tcW w:w="1573" w:type="dxa"/>
            <w:tcBorders>
              <w:top w:val="single" w:sz="4" w:space="0" w:color="auto"/>
              <w:bottom w:val="single" w:sz="4" w:space="0" w:color="auto"/>
            </w:tcBorders>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21,191</w:t>
            </w:r>
          </w:p>
        </w:tc>
      </w:tr>
      <w:tr w:rsidR="00B44B33" w:rsidRPr="00DD509F" w:rsidTr="00530CF2">
        <w:tc>
          <w:tcPr>
            <w:tcW w:w="7149" w:type="dxa"/>
          </w:tcPr>
          <w:p w:rsidR="00B44B33" w:rsidRPr="00DD509F" w:rsidRDefault="00B44B33" w:rsidP="00530CF2">
            <w:pPr>
              <w:rPr>
                <w:rFonts w:ascii="Arial" w:hAnsi="Arial" w:cs="Arial"/>
                <w:b/>
                <w:bCs/>
                <w:sz w:val="20"/>
                <w:szCs w:val="20"/>
              </w:rPr>
            </w:pPr>
          </w:p>
        </w:tc>
        <w:tc>
          <w:tcPr>
            <w:tcW w:w="917" w:type="dxa"/>
          </w:tcPr>
          <w:p w:rsidR="00B44B33" w:rsidRPr="001F6C10" w:rsidRDefault="00B44B33" w:rsidP="00530CF2">
            <w:pPr>
              <w:jc w:val="center"/>
              <w:rPr>
                <w:rFonts w:ascii="Arial" w:hAnsi="Arial" w:cs="Arial"/>
                <w:bCs/>
                <w:sz w:val="20"/>
                <w:szCs w:val="20"/>
              </w:rPr>
            </w:pPr>
          </w:p>
        </w:tc>
        <w:tc>
          <w:tcPr>
            <w:tcW w:w="1573" w:type="dxa"/>
            <w:tcBorders>
              <w:top w:val="single" w:sz="4" w:space="0" w:color="auto"/>
            </w:tcBorders>
          </w:tcPr>
          <w:p w:rsidR="00B44B33" w:rsidRPr="001F6C10" w:rsidRDefault="00B44B33" w:rsidP="00530CF2">
            <w:pPr>
              <w:jc w:val="right"/>
              <w:rPr>
                <w:rFonts w:ascii="Arial" w:hAnsi="Arial" w:cs="Arial"/>
                <w:bCs/>
                <w:sz w:val="20"/>
                <w:szCs w:val="20"/>
              </w:rPr>
            </w:pP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Cash and cash equivalents at the beginning of the period</w:t>
            </w:r>
            <w:r w:rsidRPr="00DD509F">
              <w:rPr>
                <w:rFonts w:ascii="Arial" w:hAnsi="Arial" w:cs="Arial"/>
                <w:sz w:val="20"/>
                <w:szCs w:val="20"/>
              </w:rPr>
              <w:tab/>
            </w:r>
          </w:p>
        </w:tc>
        <w:tc>
          <w:tcPr>
            <w:tcW w:w="917" w:type="dxa"/>
          </w:tcPr>
          <w:p w:rsidR="00B44B33" w:rsidRPr="001F6C10" w:rsidRDefault="00B44B33" w:rsidP="00530CF2">
            <w:pPr>
              <w:jc w:val="center"/>
              <w:rPr>
                <w:rFonts w:ascii="Arial" w:hAnsi="Arial" w:cs="Arial"/>
                <w:bCs/>
                <w:sz w:val="20"/>
                <w:szCs w:val="20"/>
              </w:rPr>
            </w:pPr>
          </w:p>
        </w:tc>
        <w:tc>
          <w:tcPr>
            <w:tcW w:w="1573" w:type="dxa"/>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w:t>
            </w:r>
          </w:p>
        </w:tc>
      </w:tr>
      <w:tr w:rsidR="00B44B33" w:rsidRPr="00DD509F" w:rsidTr="00530CF2">
        <w:tc>
          <w:tcPr>
            <w:tcW w:w="7149" w:type="dxa"/>
          </w:tcPr>
          <w:p w:rsidR="00B44B33" w:rsidRPr="00DD509F" w:rsidRDefault="00B44B33" w:rsidP="00530CF2">
            <w:pPr>
              <w:rPr>
                <w:rFonts w:ascii="Arial" w:hAnsi="Arial" w:cs="Arial"/>
                <w:b/>
                <w:bCs/>
                <w:sz w:val="20"/>
                <w:szCs w:val="20"/>
              </w:rPr>
            </w:pPr>
            <w:r w:rsidRPr="00DD509F">
              <w:rPr>
                <w:rFonts w:ascii="Arial" w:hAnsi="Arial" w:cs="Arial"/>
                <w:sz w:val="20"/>
                <w:szCs w:val="20"/>
              </w:rPr>
              <w:t>Cash and cash equivalents at the end of the period</w:t>
            </w:r>
          </w:p>
        </w:tc>
        <w:tc>
          <w:tcPr>
            <w:tcW w:w="917" w:type="dxa"/>
          </w:tcPr>
          <w:p w:rsidR="00B44B33" w:rsidRPr="001F6C10" w:rsidRDefault="00B44B33" w:rsidP="00530CF2">
            <w:pPr>
              <w:jc w:val="center"/>
              <w:rPr>
                <w:rFonts w:ascii="Arial" w:hAnsi="Arial" w:cs="Arial"/>
                <w:bCs/>
                <w:sz w:val="20"/>
                <w:szCs w:val="20"/>
              </w:rPr>
            </w:pPr>
          </w:p>
        </w:tc>
        <w:tc>
          <w:tcPr>
            <w:tcW w:w="1573" w:type="dxa"/>
            <w:tcBorders>
              <w:bottom w:val="single" w:sz="4" w:space="0" w:color="auto"/>
            </w:tcBorders>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21,191</w:t>
            </w:r>
          </w:p>
        </w:tc>
      </w:tr>
      <w:tr w:rsidR="00B44B33" w:rsidRPr="00DD509F" w:rsidTr="00530CF2">
        <w:tc>
          <w:tcPr>
            <w:tcW w:w="7149" w:type="dxa"/>
          </w:tcPr>
          <w:p w:rsidR="00B44B33" w:rsidRPr="00DD509F" w:rsidRDefault="00B44B33" w:rsidP="00530CF2">
            <w:pPr>
              <w:rPr>
                <w:rFonts w:ascii="Arial" w:hAnsi="Arial" w:cs="Arial"/>
                <w:b/>
                <w:bCs/>
                <w:sz w:val="20"/>
                <w:szCs w:val="20"/>
              </w:rPr>
            </w:pPr>
          </w:p>
        </w:tc>
        <w:tc>
          <w:tcPr>
            <w:tcW w:w="917" w:type="dxa"/>
          </w:tcPr>
          <w:p w:rsidR="00B44B33" w:rsidRPr="001F6C10" w:rsidRDefault="00B44B33" w:rsidP="00530CF2">
            <w:pPr>
              <w:jc w:val="center"/>
              <w:rPr>
                <w:rFonts w:ascii="Arial" w:hAnsi="Arial" w:cs="Arial"/>
                <w:bCs/>
                <w:sz w:val="20"/>
                <w:szCs w:val="20"/>
              </w:rPr>
            </w:pPr>
          </w:p>
        </w:tc>
        <w:tc>
          <w:tcPr>
            <w:tcW w:w="1573" w:type="dxa"/>
            <w:tcBorders>
              <w:top w:val="single" w:sz="4" w:space="0" w:color="auto"/>
              <w:bottom w:val="single" w:sz="4" w:space="0" w:color="auto"/>
            </w:tcBorders>
          </w:tcPr>
          <w:p w:rsidR="00B44B33" w:rsidRPr="001F6C10" w:rsidRDefault="00B44B33" w:rsidP="00530CF2">
            <w:pPr>
              <w:jc w:val="right"/>
              <w:rPr>
                <w:rFonts w:ascii="Arial" w:hAnsi="Arial" w:cs="Arial"/>
                <w:bCs/>
                <w:sz w:val="20"/>
                <w:szCs w:val="20"/>
              </w:rPr>
            </w:pPr>
            <w:r w:rsidRPr="001F6C10">
              <w:rPr>
                <w:rFonts w:ascii="Arial" w:hAnsi="Arial" w:cs="Arial"/>
                <w:bCs/>
                <w:sz w:val="20"/>
                <w:szCs w:val="20"/>
              </w:rPr>
              <w:t>21,191</w:t>
            </w:r>
          </w:p>
        </w:tc>
      </w:tr>
      <w:tr w:rsidR="00B44B33" w:rsidRPr="00DD509F" w:rsidTr="00530CF2">
        <w:tc>
          <w:tcPr>
            <w:tcW w:w="7149" w:type="dxa"/>
          </w:tcPr>
          <w:p w:rsidR="00B44B33" w:rsidRPr="00DD509F" w:rsidRDefault="00B44B33" w:rsidP="00530CF2">
            <w:pPr>
              <w:rPr>
                <w:rFonts w:ascii="Arial" w:hAnsi="Arial" w:cs="Arial"/>
                <w:b/>
                <w:bCs/>
                <w:sz w:val="20"/>
                <w:szCs w:val="20"/>
              </w:rPr>
            </w:pPr>
          </w:p>
        </w:tc>
        <w:tc>
          <w:tcPr>
            <w:tcW w:w="917" w:type="dxa"/>
          </w:tcPr>
          <w:p w:rsidR="00B44B33" w:rsidRPr="001F6C10" w:rsidRDefault="00B44B33" w:rsidP="00530CF2">
            <w:pPr>
              <w:jc w:val="center"/>
              <w:rPr>
                <w:rFonts w:ascii="Arial" w:hAnsi="Arial" w:cs="Arial"/>
                <w:bCs/>
                <w:sz w:val="20"/>
                <w:szCs w:val="20"/>
              </w:rPr>
            </w:pPr>
          </w:p>
        </w:tc>
        <w:tc>
          <w:tcPr>
            <w:tcW w:w="1573" w:type="dxa"/>
            <w:tcBorders>
              <w:top w:val="single" w:sz="4" w:space="0" w:color="auto"/>
            </w:tcBorders>
          </w:tcPr>
          <w:p w:rsidR="00B44B33" w:rsidRPr="001F6C10" w:rsidRDefault="00B44B33" w:rsidP="00530CF2">
            <w:pPr>
              <w:jc w:val="right"/>
              <w:rPr>
                <w:rFonts w:ascii="Arial" w:hAnsi="Arial" w:cs="Arial"/>
                <w:bCs/>
                <w:sz w:val="20"/>
                <w:szCs w:val="20"/>
              </w:rPr>
            </w:pPr>
          </w:p>
        </w:tc>
      </w:tr>
    </w:tbl>
    <w:p w:rsidR="00B44B33" w:rsidRPr="00DD509F" w:rsidRDefault="00B44B33" w:rsidP="00177AD8">
      <w:pPr>
        <w:rPr>
          <w:rFonts w:ascii="Arial" w:hAnsi="Arial" w:cs="Arial"/>
          <w:sz w:val="20"/>
          <w:szCs w:val="20"/>
        </w:rPr>
      </w:pPr>
    </w:p>
    <w:p w:rsidR="00B44B33" w:rsidRPr="00DD509F" w:rsidRDefault="00B44B33" w:rsidP="00177AD8">
      <w:pPr>
        <w:rPr>
          <w:rFonts w:ascii="Arial" w:hAnsi="Arial" w:cs="Arial"/>
          <w:sz w:val="20"/>
          <w:szCs w:val="20"/>
        </w:rPr>
        <w:sectPr w:rsidR="00B44B33" w:rsidRPr="00DD509F" w:rsidSect="000C61D6">
          <w:pgSz w:w="11904" w:h="16843"/>
          <w:pgMar w:top="1440" w:right="1440" w:bottom="1440" w:left="1440" w:header="720" w:footer="720" w:gutter="0"/>
          <w:cols w:space="720"/>
          <w:noEndnote/>
          <w:docGrid w:linePitch="326"/>
        </w:sectPr>
      </w:pPr>
    </w:p>
    <w:p w:rsidR="00B44B33" w:rsidRDefault="00B44B33" w:rsidP="00E058F5">
      <w:pPr>
        <w:pStyle w:val="ListParagraph"/>
        <w:ind w:left="0"/>
        <w:jc w:val="both"/>
        <w:rPr>
          <w:rFonts w:ascii="Arial" w:hAnsi="Arial" w:cs="Arial"/>
          <w:b/>
          <w:bCs/>
          <w:sz w:val="20"/>
          <w:szCs w:val="20"/>
        </w:rPr>
      </w:pPr>
      <w:r>
        <w:rPr>
          <w:rFonts w:ascii="Arial" w:hAnsi="Arial" w:cs="Arial"/>
          <w:b/>
          <w:sz w:val="20"/>
          <w:szCs w:val="20"/>
        </w:rPr>
        <w:t xml:space="preserve">Notes to the Interim Report for the </w:t>
      </w:r>
      <w:r w:rsidRPr="00DD509F">
        <w:rPr>
          <w:rFonts w:ascii="Arial" w:hAnsi="Arial" w:cs="Arial"/>
          <w:b/>
          <w:bCs/>
          <w:sz w:val="20"/>
          <w:szCs w:val="20"/>
        </w:rPr>
        <w:t>7 month period from incorporation to 31 December 2012</w:t>
      </w:r>
    </w:p>
    <w:p w:rsidR="00B44B33" w:rsidRDefault="00B44B33" w:rsidP="00F03AE7">
      <w:pPr>
        <w:pStyle w:val="ListParagraph"/>
        <w:ind w:left="0"/>
        <w:jc w:val="both"/>
        <w:rPr>
          <w:rFonts w:ascii="Arial" w:hAnsi="Arial" w:cs="Arial"/>
          <w:b/>
          <w:sz w:val="20"/>
          <w:szCs w:val="20"/>
        </w:rPr>
      </w:pPr>
    </w:p>
    <w:p w:rsidR="00B44B33" w:rsidRPr="00DD509F" w:rsidRDefault="00B44B33" w:rsidP="00F03AE7">
      <w:pPr>
        <w:pStyle w:val="ListParagraph"/>
        <w:numPr>
          <w:ilvl w:val="0"/>
          <w:numId w:val="10"/>
        </w:numPr>
        <w:ind w:left="0" w:firstLine="0"/>
        <w:jc w:val="both"/>
        <w:rPr>
          <w:rFonts w:ascii="Arial" w:hAnsi="Arial" w:cs="Arial"/>
          <w:b/>
          <w:sz w:val="20"/>
          <w:szCs w:val="20"/>
        </w:rPr>
      </w:pPr>
      <w:r w:rsidRPr="00DD509F">
        <w:rPr>
          <w:rFonts w:ascii="Arial" w:hAnsi="Arial" w:cs="Arial"/>
          <w:b/>
          <w:sz w:val="20"/>
          <w:szCs w:val="20"/>
        </w:rPr>
        <w:t>Basis of Preparation</w:t>
      </w:r>
    </w:p>
    <w:p w:rsidR="00B44B33" w:rsidRPr="00DD509F" w:rsidRDefault="00B44B33" w:rsidP="006126F5">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The condensed set of financial statements has been prepared using accounting policies consistent with International Financial Reporting Standards (IFRSs) as adopted by the European Union. The same accounting policies, presentation and methods of computation are followed in the condensed set of financial statements as would be applied if the Group's annual audited financial statements were being prepared. The first annual audited financial statements will be prepared for the period to 30 June 2013. While the financial figures included in this half-yearly report have been prepared in accordance with IFRSs applicable to interim periods, this half-yearly report does not contain sufficient information to constitute an interim financial report as that term is defined in IAS 34.</w:t>
      </w:r>
    </w:p>
    <w:p w:rsidR="00B44B33" w:rsidRPr="00DD509F" w:rsidRDefault="00B44B33" w:rsidP="00177AD8">
      <w:pPr>
        <w:jc w:val="both"/>
        <w:rPr>
          <w:rFonts w:ascii="Arial" w:hAnsi="Arial" w:cs="Arial"/>
          <w:b/>
          <w:bCs/>
          <w:sz w:val="20"/>
          <w:szCs w:val="20"/>
        </w:rPr>
      </w:pPr>
    </w:p>
    <w:p w:rsidR="00B44B33" w:rsidRDefault="00000FC0" w:rsidP="00177AD8">
      <w:pPr>
        <w:jc w:val="both"/>
        <w:rPr>
          <w:rFonts w:ascii="Arial" w:hAnsi="Arial" w:cs="Arial"/>
          <w:b/>
          <w:bCs/>
          <w:sz w:val="20"/>
          <w:szCs w:val="20"/>
        </w:rPr>
      </w:pPr>
      <w:r>
        <w:rPr>
          <w:noProof/>
          <w:lang w:val="en-GB"/>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9384030</wp:posOffset>
                </wp:positionV>
                <wp:extent cx="5886450" cy="182245"/>
                <wp:effectExtent l="0" t="0" r="0" b="8255"/>
                <wp:wrapThrough wrapText="bothSides">
                  <wp:wrapPolygon edited="0">
                    <wp:start x="0" y="0"/>
                    <wp:lineTo x="0" y="20321"/>
                    <wp:lineTo x="21530" y="20321"/>
                    <wp:lineTo x="21530" y="0"/>
                    <wp:lineTo x="0" y="0"/>
                  </wp:wrapPolygon>
                </wp:wrapThrough>
                <wp:docPr id="8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B33" w:rsidRDefault="00B44B33" w:rsidP="00196068">
                            <w:pPr>
                              <w:spacing w:before="36"/>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0;margin-top:738.9pt;width:463.5pt;height:14.3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fm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" o:allowincell="f" filled="f" stroked="f">
                <v:textbox inset="0,0,0,0">
                  <w:txbxContent>
                    <w:p w:rsidR="00B44B33" w:rsidRDefault="00B44B33" w:rsidP="00196068">
                      <w:pPr>
                        <w:spacing w:before="36"/>
                        <w:jc w:val="center"/>
                      </w:pPr>
                    </w:p>
                  </w:txbxContent>
                </v:textbox>
                <w10:wrap type="through"/>
              </v:shape>
            </w:pict>
          </mc:Fallback>
        </mc:AlternateContent>
      </w:r>
      <w:r w:rsidR="00B44B33" w:rsidRPr="00DD509F">
        <w:rPr>
          <w:rFonts w:ascii="Arial" w:hAnsi="Arial" w:cs="Arial"/>
          <w:b/>
          <w:bCs/>
          <w:sz w:val="20"/>
          <w:szCs w:val="20"/>
        </w:rPr>
        <w:t>Accounting policies and critical accounting judgments</w:t>
      </w:r>
    </w:p>
    <w:p w:rsidR="00B44B33" w:rsidRPr="00DD509F" w:rsidRDefault="00B44B33" w:rsidP="00177AD8">
      <w:pPr>
        <w:jc w:val="both"/>
        <w:rPr>
          <w:rFonts w:ascii="Arial" w:hAnsi="Arial" w:cs="Arial"/>
          <w:b/>
          <w:bCs/>
          <w:sz w:val="20"/>
          <w:szCs w:val="20"/>
        </w:rPr>
      </w:pPr>
    </w:p>
    <w:p w:rsidR="00B44B33" w:rsidRPr="00DD509F" w:rsidRDefault="00B44B33" w:rsidP="00177AD8">
      <w:pPr>
        <w:jc w:val="both"/>
        <w:rPr>
          <w:rFonts w:ascii="Arial" w:hAnsi="Arial" w:cs="Arial"/>
          <w:b/>
          <w:bCs/>
          <w:sz w:val="20"/>
          <w:szCs w:val="20"/>
        </w:rPr>
      </w:pPr>
      <w:r w:rsidRPr="00DD509F">
        <w:rPr>
          <w:rFonts w:ascii="Arial" w:hAnsi="Arial" w:cs="Arial"/>
          <w:sz w:val="20"/>
          <w:szCs w:val="20"/>
        </w:rPr>
        <w:t xml:space="preserve">The following accounting policies have identified by the Board as being the most significant to the financial statements. </w:t>
      </w:r>
    </w:p>
    <w:p w:rsidR="00B44B33" w:rsidRPr="00DD509F" w:rsidRDefault="00B44B33" w:rsidP="00177AD8">
      <w:pPr>
        <w:jc w:val="both"/>
        <w:rPr>
          <w:rFonts w:ascii="Arial" w:hAnsi="Arial" w:cs="Arial"/>
          <w:b/>
          <w:bCs/>
          <w:sz w:val="20"/>
          <w:szCs w:val="20"/>
        </w:rPr>
      </w:pPr>
    </w:p>
    <w:p w:rsidR="00B44B33" w:rsidRPr="00DD509F" w:rsidRDefault="00B44B33" w:rsidP="00177AD8">
      <w:pPr>
        <w:jc w:val="both"/>
        <w:rPr>
          <w:rFonts w:ascii="Arial" w:hAnsi="Arial" w:cs="Arial"/>
          <w:b/>
          <w:bCs/>
          <w:sz w:val="20"/>
          <w:szCs w:val="20"/>
        </w:rPr>
      </w:pPr>
      <w:r w:rsidRPr="00DD509F">
        <w:rPr>
          <w:rFonts w:ascii="Arial" w:hAnsi="Arial" w:cs="Arial"/>
          <w:b/>
          <w:bCs/>
          <w:sz w:val="20"/>
          <w:szCs w:val="20"/>
        </w:rPr>
        <w:t>General Information</w:t>
      </w:r>
    </w:p>
    <w:p w:rsidR="00B44B33" w:rsidRPr="00DD509F" w:rsidRDefault="00B44B33" w:rsidP="00177AD8">
      <w:pPr>
        <w:jc w:val="both"/>
        <w:rPr>
          <w:rFonts w:ascii="Arial" w:hAnsi="Arial" w:cs="Arial"/>
          <w:sz w:val="20"/>
          <w:szCs w:val="20"/>
        </w:rPr>
      </w:pPr>
    </w:p>
    <w:p w:rsidR="00B44B33" w:rsidRPr="00DD509F" w:rsidRDefault="00B44B33" w:rsidP="00177AD8">
      <w:pPr>
        <w:jc w:val="both"/>
        <w:rPr>
          <w:rFonts w:ascii="Arial" w:hAnsi="Arial" w:cs="Arial"/>
          <w:sz w:val="20"/>
          <w:szCs w:val="20"/>
        </w:rPr>
      </w:pPr>
      <w:r>
        <w:rPr>
          <w:rFonts w:ascii="Arial" w:hAnsi="Arial" w:cs="Arial"/>
          <w:sz w:val="20"/>
          <w:szCs w:val="20"/>
        </w:rPr>
        <w:t xml:space="preserve">The </w:t>
      </w:r>
      <w:r w:rsidRPr="00DD509F">
        <w:rPr>
          <w:rFonts w:ascii="Arial" w:hAnsi="Arial" w:cs="Arial"/>
          <w:sz w:val="20"/>
          <w:szCs w:val="20"/>
        </w:rPr>
        <w:t>Rangers Football Club Ltd (RFCL) was incorporated on 29 May 2012 and on 14</w:t>
      </w:r>
      <w:r w:rsidRPr="00DD509F">
        <w:rPr>
          <w:rFonts w:ascii="Arial" w:hAnsi="Arial" w:cs="Arial"/>
          <w:sz w:val="20"/>
          <w:szCs w:val="20"/>
          <w:vertAlign w:val="superscript"/>
        </w:rPr>
        <w:t xml:space="preserve"> </w:t>
      </w:r>
      <w:r w:rsidRPr="00DD509F">
        <w:rPr>
          <w:rFonts w:ascii="Arial" w:hAnsi="Arial" w:cs="Arial"/>
          <w:sz w:val="20"/>
          <w:szCs w:val="20"/>
        </w:rPr>
        <w:t xml:space="preserve">June 2012 purchased the </w:t>
      </w:r>
      <w:r>
        <w:rPr>
          <w:rFonts w:ascii="Arial" w:hAnsi="Arial" w:cs="Arial"/>
          <w:sz w:val="20"/>
          <w:szCs w:val="20"/>
        </w:rPr>
        <w:t>trade</w:t>
      </w:r>
      <w:r w:rsidRPr="00DD509F">
        <w:rPr>
          <w:rFonts w:ascii="Arial" w:hAnsi="Arial" w:cs="Arial"/>
          <w:sz w:val="20"/>
          <w:szCs w:val="20"/>
        </w:rPr>
        <w:t xml:space="preserve"> and assets of the former Rangers Football Club plc which had been placed in liquidation. On 7 December 2012 Rangers International Football Club plc (RIFC) was created and floated on the Alternate Investment Market, incorporating</w:t>
      </w:r>
      <w:r>
        <w:rPr>
          <w:rFonts w:ascii="Arial" w:hAnsi="Arial" w:cs="Arial"/>
          <w:sz w:val="20"/>
          <w:szCs w:val="20"/>
        </w:rPr>
        <w:t xml:space="preserve"> in its Group</w:t>
      </w:r>
      <w:r w:rsidRPr="00DD509F">
        <w:rPr>
          <w:rFonts w:ascii="Arial" w:hAnsi="Arial" w:cs="Arial"/>
          <w:sz w:val="20"/>
          <w:szCs w:val="20"/>
        </w:rPr>
        <w:t xml:space="preserve"> The Rangers Football Club Ltd, the existing shares of which were swapped on a one for one basis with those of RIFC. Transactions relating to both The Rangers Football Club Ltd and Rangers International Football Club plc are hereafter referred to as </w:t>
      </w:r>
      <w:r>
        <w:rPr>
          <w:rFonts w:ascii="Arial" w:hAnsi="Arial" w:cs="Arial"/>
          <w:sz w:val="20"/>
          <w:szCs w:val="20"/>
        </w:rPr>
        <w:t>the</w:t>
      </w:r>
      <w:r w:rsidRPr="00DD509F">
        <w:rPr>
          <w:rFonts w:ascii="Arial" w:hAnsi="Arial" w:cs="Arial"/>
          <w:sz w:val="20"/>
          <w:szCs w:val="20"/>
        </w:rPr>
        <w:t xml:space="preserve"> Group where the transactions or reference is not specific to a distinct legal entity. </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 xml:space="preserve">Rangers International Football Club plc is </w:t>
      </w:r>
      <w:r w:rsidRPr="00DD509F">
        <w:rPr>
          <w:rFonts w:ascii="Arial" w:hAnsi="Arial" w:cs="Arial"/>
          <w:spacing w:val="-2"/>
          <w:sz w:val="20"/>
          <w:szCs w:val="20"/>
        </w:rPr>
        <w:t>a Company incorporated in Scotland. The address of the registered office is Ibrox Stadium,</w:t>
      </w:r>
      <w:r w:rsidRPr="00DD509F">
        <w:rPr>
          <w:rFonts w:ascii="Arial" w:hAnsi="Arial" w:cs="Arial"/>
          <w:sz w:val="20"/>
          <w:szCs w:val="20"/>
        </w:rPr>
        <w:t xml:space="preserve"> Glasgow, G51 2XD. The nature of the Company’s operations is that of a football club.</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 xml:space="preserve">The </w:t>
      </w:r>
      <w:r>
        <w:rPr>
          <w:rFonts w:ascii="Arial" w:hAnsi="Arial" w:cs="Arial"/>
          <w:sz w:val="20"/>
          <w:szCs w:val="20"/>
        </w:rPr>
        <w:t>financial</w:t>
      </w:r>
      <w:r w:rsidRPr="00DD509F">
        <w:rPr>
          <w:rFonts w:ascii="Arial" w:hAnsi="Arial" w:cs="Arial"/>
          <w:sz w:val="20"/>
          <w:szCs w:val="20"/>
        </w:rPr>
        <w:t xml:space="preserve"> </w:t>
      </w:r>
      <w:r>
        <w:rPr>
          <w:rFonts w:ascii="Arial" w:hAnsi="Arial" w:cs="Arial"/>
          <w:sz w:val="20"/>
          <w:szCs w:val="20"/>
        </w:rPr>
        <w:t>i</w:t>
      </w:r>
      <w:r w:rsidRPr="00DD509F">
        <w:rPr>
          <w:rFonts w:ascii="Arial" w:hAnsi="Arial" w:cs="Arial"/>
          <w:sz w:val="20"/>
          <w:szCs w:val="20"/>
        </w:rPr>
        <w:t>nformation is presented in pounds sterling because that is the currency of the primary economic environment in which the Group operates. All activities of the Group are performed in the United Kingdom.</w:t>
      </w:r>
    </w:p>
    <w:p w:rsidR="00B44B33" w:rsidRPr="00DD509F" w:rsidRDefault="00B44B33" w:rsidP="00177AD8">
      <w:pPr>
        <w:jc w:val="both"/>
        <w:rPr>
          <w:rFonts w:ascii="Arial" w:hAnsi="Arial" w:cs="Arial"/>
          <w:sz w:val="20"/>
          <w:szCs w:val="20"/>
        </w:rPr>
      </w:pPr>
    </w:p>
    <w:p w:rsidR="00B44B33" w:rsidRPr="00177AD8" w:rsidRDefault="00B44B33" w:rsidP="00177AD8">
      <w:pPr>
        <w:numPr>
          <w:ilvl w:val="0"/>
          <w:numId w:val="10"/>
        </w:numPr>
        <w:ind w:left="0" w:firstLine="0"/>
        <w:jc w:val="both"/>
        <w:rPr>
          <w:rFonts w:ascii="Arial" w:hAnsi="Arial" w:cs="Arial"/>
          <w:b/>
          <w:bCs/>
          <w:i/>
          <w:iCs/>
          <w:sz w:val="20"/>
          <w:szCs w:val="20"/>
        </w:rPr>
      </w:pPr>
      <w:r w:rsidRPr="00DD509F">
        <w:rPr>
          <w:rFonts w:ascii="Arial" w:hAnsi="Arial" w:cs="Arial"/>
          <w:b/>
          <w:bCs/>
          <w:sz w:val="20"/>
          <w:szCs w:val="20"/>
        </w:rPr>
        <w:t xml:space="preserve">Significant Accounting Policies </w:t>
      </w:r>
    </w:p>
    <w:p w:rsidR="00B44B33" w:rsidRPr="00DD509F" w:rsidRDefault="00B44B33" w:rsidP="00177AD8">
      <w:pPr>
        <w:jc w:val="both"/>
        <w:rPr>
          <w:rFonts w:ascii="Arial" w:hAnsi="Arial" w:cs="Arial"/>
          <w:b/>
          <w:bCs/>
          <w:i/>
          <w:iCs/>
          <w:sz w:val="20"/>
          <w:szCs w:val="20"/>
        </w:rPr>
      </w:pPr>
    </w:p>
    <w:p w:rsidR="00B44B33" w:rsidRDefault="00B44B33" w:rsidP="00177AD8">
      <w:pPr>
        <w:jc w:val="both"/>
        <w:rPr>
          <w:rFonts w:ascii="Arial" w:hAnsi="Arial" w:cs="Arial"/>
          <w:b/>
          <w:bCs/>
          <w:i/>
          <w:iCs/>
          <w:sz w:val="20"/>
          <w:szCs w:val="20"/>
        </w:rPr>
      </w:pPr>
      <w:r w:rsidRPr="00DD509F">
        <w:rPr>
          <w:rFonts w:ascii="Arial" w:hAnsi="Arial" w:cs="Arial"/>
          <w:b/>
          <w:bCs/>
          <w:i/>
          <w:iCs/>
          <w:sz w:val="20"/>
          <w:szCs w:val="20"/>
        </w:rPr>
        <w:t>Basis of accounting</w:t>
      </w:r>
    </w:p>
    <w:p w:rsidR="00B44B33" w:rsidRPr="00DD509F" w:rsidRDefault="00B44B33" w:rsidP="00177AD8">
      <w:pPr>
        <w:jc w:val="both"/>
        <w:rPr>
          <w:rFonts w:ascii="Arial" w:hAnsi="Arial" w:cs="Arial"/>
          <w:b/>
          <w:bCs/>
          <w:i/>
          <w:iCs/>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This condensed set of financial statements ha</w:t>
      </w:r>
      <w:r>
        <w:rPr>
          <w:rFonts w:ascii="Arial" w:hAnsi="Arial" w:cs="Arial"/>
          <w:sz w:val="20"/>
          <w:szCs w:val="20"/>
        </w:rPr>
        <w:t>s</w:t>
      </w:r>
      <w:r w:rsidRPr="00DD509F">
        <w:rPr>
          <w:rFonts w:ascii="Arial" w:hAnsi="Arial" w:cs="Arial"/>
          <w:sz w:val="20"/>
          <w:szCs w:val="20"/>
        </w:rPr>
        <w:t xml:space="preserve"> been prepared in accordance with </w:t>
      </w:r>
      <w:r>
        <w:rPr>
          <w:rFonts w:ascii="Arial" w:hAnsi="Arial" w:cs="Arial"/>
          <w:sz w:val="20"/>
          <w:szCs w:val="20"/>
        </w:rPr>
        <w:t xml:space="preserve">accounting policies consistent with </w:t>
      </w:r>
      <w:r w:rsidRPr="00DD509F">
        <w:rPr>
          <w:rFonts w:ascii="Arial" w:hAnsi="Arial" w:cs="Arial"/>
          <w:sz w:val="20"/>
          <w:szCs w:val="20"/>
        </w:rPr>
        <w:t>International Financial Reporting Standards (IFRSs), as adopted by the European Union.</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 xml:space="preserve">Other than the Group’s property which has been revalued, the </w:t>
      </w:r>
      <w:r>
        <w:rPr>
          <w:rFonts w:ascii="Arial" w:hAnsi="Arial" w:cs="Arial"/>
          <w:sz w:val="20"/>
          <w:szCs w:val="20"/>
        </w:rPr>
        <w:t>financial</w:t>
      </w:r>
      <w:r w:rsidRPr="00DD509F">
        <w:rPr>
          <w:rFonts w:ascii="Arial" w:hAnsi="Arial" w:cs="Arial"/>
          <w:sz w:val="20"/>
          <w:szCs w:val="20"/>
        </w:rPr>
        <w:t xml:space="preserve"> </w:t>
      </w:r>
      <w:r>
        <w:rPr>
          <w:rFonts w:ascii="Arial" w:hAnsi="Arial" w:cs="Arial"/>
          <w:sz w:val="20"/>
          <w:szCs w:val="20"/>
        </w:rPr>
        <w:t>i</w:t>
      </w:r>
      <w:r w:rsidRPr="00DD509F">
        <w:rPr>
          <w:rFonts w:ascii="Arial" w:hAnsi="Arial" w:cs="Arial"/>
          <w:sz w:val="20"/>
          <w:szCs w:val="20"/>
        </w:rPr>
        <w:t>nformation has been prepared on the historical cost basis. Historical cost is generally based on the fair value of the consideration given in exchange for the assets. The principal accounting policies adopted are set out below.</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b/>
          <w:bCs/>
          <w:i/>
          <w:iCs/>
          <w:sz w:val="20"/>
          <w:szCs w:val="20"/>
        </w:rPr>
      </w:pPr>
      <w:r w:rsidRPr="00DD509F">
        <w:rPr>
          <w:rFonts w:ascii="Arial" w:hAnsi="Arial" w:cs="Arial"/>
          <w:b/>
          <w:bCs/>
          <w:i/>
          <w:iCs/>
          <w:sz w:val="20"/>
          <w:szCs w:val="20"/>
        </w:rPr>
        <w:t>Going concern</w:t>
      </w:r>
    </w:p>
    <w:p w:rsidR="00B44B33" w:rsidRPr="00DD509F" w:rsidRDefault="00B44B33" w:rsidP="00177AD8">
      <w:pPr>
        <w:jc w:val="both"/>
        <w:rPr>
          <w:rFonts w:ascii="Arial" w:hAnsi="Arial" w:cs="Arial"/>
          <w:b/>
          <w:bCs/>
          <w:i/>
          <w:iCs/>
          <w:sz w:val="20"/>
          <w:szCs w:val="20"/>
        </w:rPr>
      </w:pPr>
    </w:p>
    <w:p w:rsidR="00B44B33" w:rsidRDefault="00B44B33" w:rsidP="00177AD8">
      <w:pPr>
        <w:jc w:val="both"/>
        <w:rPr>
          <w:rFonts w:ascii="Arial" w:hAnsi="Arial" w:cs="Arial"/>
          <w:sz w:val="20"/>
          <w:szCs w:val="20"/>
        </w:rPr>
      </w:pPr>
      <w:r w:rsidRPr="00DD509F">
        <w:rPr>
          <w:rFonts w:ascii="Arial" w:hAnsi="Arial" w:cs="Arial"/>
          <w:spacing w:val="-2"/>
          <w:sz w:val="20"/>
          <w:szCs w:val="20"/>
        </w:rPr>
        <w:t xml:space="preserve">The Directors have, at the time of approving the </w:t>
      </w:r>
      <w:r w:rsidRPr="00DD509F">
        <w:rPr>
          <w:rFonts w:ascii="Arial" w:hAnsi="Arial" w:cs="Arial"/>
          <w:sz w:val="20"/>
          <w:szCs w:val="20"/>
        </w:rPr>
        <w:t>condensed set of financial statements</w:t>
      </w:r>
      <w:r w:rsidRPr="00DD509F">
        <w:rPr>
          <w:rFonts w:ascii="Arial" w:hAnsi="Arial" w:cs="Arial"/>
          <w:spacing w:val="-2"/>
          <w:sz w:val="20"/>
          <w:szCs w:val="20"/>
        </w:rPr>
        <w:t>, a reasonable expectation</w:t>
      </w:r>
      <w:r w:rsidRPr="00DD509F">
        <w:rPr>
          <w:rFonts w:ascii="Arial" w:hAnsi="Arial" w:cs="Arial"/>
          <w:sz w:val="20"/>
          <w:szCs w:val="20"/>
        </w:rPr>
        <w:t xml:space="preserve"> that </w:t>
      </w:r>
      <w:r>
        <w:rPr>
          <w:rFonts w:ascii="Arial" w:hAnsi="Arial" w:cs="Arial"/>
          <w:sz w:val="20"/>
          <w:szCs w:val="20"/>
        </w:rPr>
        <w:t>the Group</w:t>
      </w:r>
      <w:r w:rsidRPr="00DD509F">
        <w:rPr>
          <w:rFonts w:ascii="Arial" w:hAnsi="Arial" w:cs="Arial"/>
          <w:sz w:val="20"/>
          <w:szCs w:val="20"/>
        </w:rPr>
        <w:t xml:space="preserve"> has adequate resources to continue in operational existence for the foreseeable future. Thus they continue to adopt the going concern basis of accounting in preparing the </w:t>
      </w:r>
      <w:r>
        <w:rPr>
          <w:rFonts w:ascii="Arial" w:hAnsi="Arial" w:cs="Arial"/>
          <w:sz w:val="20"/>
          <w:szCs w:val="20"/>
        </w:rPr>
        <w:t>f</w:t>
      </w:r>
      <w:r w:rsidRPr="00DD509F">
        <w:rPr>
          <w:rFonts w:ascii="Arial" w:hAnsi="Arial" w:cs="Arial"/>
          <w:sz w:val="20"/>
          <w:szCs w:val="20"/>
        </w:rPr>
        <w:t>inancial Information.</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b/>
          <w:bCs/>
          <w:i/>
          <w:iCs/>
          <w:sz w:val="20"/>
          <w:szCs w:val="20"/>
        </w:rPr>
      </w:pPr>
      <w:r w:rsidRPr="00DD509F">
        <w:rPr>
          <w:rFonts w:ascii="Arial" w:hAnsi="Arial" w:cs="Arial"/>
          <w:b/>
          <w:bCs/>
          <w:i/>
          <w:iCs/>
          <w:sz w:val="20"/>
          <w:szCs w:val="20"/>
        </w:rPr>
        <w:t>Basis of consolidation</w:t>
      </w:r>
    </w:p>
    <w:p w:rsidR="00B44B33" w:rsidRPr="00DD509F" w:rsidRDefault="00B44B33" w:rsidP="00177AD8">
      <w:pPr>
        <w:jc w:val="both"/>
        <w:rPr>
          <w:rFonts w:ascii="Arial" w:hAnsi="Arial" w:cs="Arial"/>
          <w:b/>
          <w:bCs/>
          <w:i/>
          <w:iCs/>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 xml:space="preserve">The Group’s condensed set of financial statements incorporates the </w:t>
      </w:r>
      <w:r>
        <w:rPr>
          <w:rFonts w:ascii="Arial" w:hAnsi="Arial" w:cs="Arial"/>
          <w:sz w:val="20"/>
          <w:szCs w:val="20"/>
        </w:rPr>
        <w:t>f</w:t>
      </w:r>
      <w:r w:rsidRPr="00DD509F">
        <w:rPr>
          <w:rFonts w:ascii="Arial" w:hAnsi="Arial" w:cs="Arial"/>
          <w:sz w:val="20"/>
          <w:szCs w:val="20"/>
        </w:rPr>
        <w:t xml:space="preserve">inancial </w:t>
      </w:r>
      <w:r>
        <w:rPr>
          <w:rFonts w:ascii="Arial" w:hAnsi="Arial" w:cs="Arial"/>
          <w:sz w:val="20"/>
          <w:szCs w:val="20"/>
        </w:rPr>
        <w:t>i</w:t>
      </w:r>
      <w:r w:rsidRPr="00DD509F">
        <w:rPr>
          <w:rFonts w:ascii="Arial" w:hAnsi="Arial" w:cs="Arial"/>
          <w:sz w:val="20"/>
          <w:szCs w:val="20"/>
        </w:rPr>
        <w:t xml:space="preserve">nformation of </w:t>
      </w:r>
      <w:r>
        <w:rPr>
          <w:rFonts w:ascii="Arial" w:hAnsi="Arial" w:cs="Arial"/>
          <w:sz w:val="20"/>
          <w:szCs w:val="20"/>
        </w:rPr>
        <w:t>Rangers International Football Club plc</w:t>
      </w:r>
      <w:r w:rsidRPr="00DD509F">
        <w:rPr>
          <w:rFonts w:ascii="Arial" w:hAnsi="Arial" w:cs="Arial"/>
          <w:sz w:val="20"/>
          <w:szCs w:val="20"/>
        </w:rPr>
        <w:t xml:space="preserve"> and entities controlled by the Company (its subsidiaries) for the </w:t>
      </w:r>
      <w:r w:rsidRPr="00DD509F">
        <w:rPr>
          <w:rFonts w:ascii="Arial" w:hAnsi="Arial" w:cs="Arial"/>
          <w:spacing w:val="-2"/>
          <w:sz w:val="20"/>
          <w:szCs w:val="20"/>
        </w:rPr>
        <w:t xml:space="preserve">accounting period from incorporation on 29 May 2012 until 31 December </w:t>
      </w:r>
      <w:r>
        <w:rPr>
          <w:rFonts w:ascii="Arial" w:hAnsi="Arial" w:cs="Arial"/>
          <w:spacing w:val="-2"/>
          <w:sz w:val="20"/>
          <w:szCs w:val="20"/>
        </w:rPr>
        <w:t xml:space="preserve">2012 </w:t>
      </w:r>
      <w:r w:rsidRPr="00AE07D8">
        <w:rPr>
          <w:rStyle w:val="paragraph1"/>
          <w:sz w:val="20"/>
          <w:szCs w:val="20"/>
          <w:lang w:val="en-GB"/>
        </w:rPr>
        <w:t>through the application of merger accounting.</w:t>
      </w:r>
      <w:r>
        <w:rPr>
          <w:rStyle w:val="paragraph1"/>
          <w:sz w:val="20"/>
          <w:szCs w:val="20"/>
          <w:lang w:val="en-GB"/>
        </w:rPr>
        <w:t> </w:t>
      </w:r>
      <w:r w:rsidRPr="00AE07D8">
        <w:rPr>
          <w:rStyle w:val="paragraph1"/>
          <w:sz w:val="20"/>
          <w:szCs w:val="20"/>
          <w:lang w:val="en-GB"/>
        </w:rPr>
        <w:t xml:space="preserve"> Under these principles the financial statements of the Group have been prepared by combining the results of the combining entities for the interim period under review. </w:t>
      </w:r>
      <w:r w:rsidRPr="00DD509F">
        <w:rPr>
          <w:rFonts w:ascii="Arial" w:hAnsi="Arial" w:cs="Arial"/>
          <w:spacing w:val="-2"/>
          <w:sz w:val="20"/>
          <w:szCs w:val="20"/>
        </w:rPr>
        <w:t>Control is achieved where</w:t>
      </w:r>
      <w:r w:rsidRPr="00DD509F">
        <w:rPr>
          <w:rFonts w:ascii="Arial" w:hAnsi="Arial" w:cs="Arial"/>
          <w:sz w:val="20"/>
          <w:szCs w:val="20"/>
        </w:rPr>
        <w:t xml:space="preserve"> the Company has the power to govern the financial and operating policies of an investee entity so as to obtain benefit from its activities.</w:t>
      </w:r>
      <w:r>
        <w:rPr>
          <w:rFonts w:ascii="Arial" w:hAnsi="Arial" w:cs="Arial"/>
          <w:sz w:val="20"/>
          <w:szCs w:val="20"/>
        </w:rPr>
        <w:t xml:space="preserve"> </w:t>
      </w:r>
      <w:r w:rsidRPr="00DD509F">
        <w:rPr>
          <w:rFonts w:ascii="Arial" w:hAnsi="Arial" w:cs="Arial"/>
          <w:sz w:val="20"/>
          <w:szCs w:val="20"/>
        </w:rPr>
        <w:t>All intra-group transactions, balances, income and expenses are eliminated on consolidation.</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b/>
          <w:bCs/>
          <w:i/>
          <w:iCs/>
          <w:sz w:val="20"/>
          <w:szCs w:val="20"/>
        </w:rPr>
      </w:pPr>
      <w:r w:rsidRPr="00DD509F">
        <w:rPr>
          <w:rFonts w:ascii="Arial" w:hAnsi="Arial" w:cs="Arial"/>
          <w:b/>
          <w:bCs/>
          <w:i/>
          <w:iCs/>
          <w:sz w:val="20"/>
          <w:szCs w:val="20"/>
        </w:rPr>
        <w:t>Business combinations</w:t>
      </w:r>
    </w:p>
    <w:p w:rsidR="00B44B33" w:rsidRPr="00DD509F" w:rsidRDefault="00B44B33" w:rsidP="00177AD8">
      <w:pPr>
        <w:jc w:val="both"/>
        <w:rPr>
          <w:rFonts w:ascii="Arial" w:hAnsi="Arial" w:cs="Arial"/>
          <w:b/>
          <w:bCs/>
          <w:i/>
          <w:iCs/>
          <w:sz w:val="20"/>
          <w:szCs w:val="20"/>
        </w:rPr>
      </w:pPr>
    </w:p>
    <w:p w:rsidR="00B44B33" w:rsidRPr="00DD509F" w:rsidRDefault="00B44B33" w:rsidP="00177AD8">
      <w:pPr>
        <w:jc w:val="both"/>
        <w:rPr>
          <w:rFonts w:ascii="Arial" w:hAnsi="Arial" w:cs="Arial"/>
          <w:sz w:val="20"/>
          <w:szCs w:val="20"/>
        </w:rPr>
      </w:pPr>
      <w:r w:rsidRPr="00DD509F">
        <w:rPr>
          <w:rFonts w:ascii="Arial" w:hAnsi="Arial" w:cs="Arial"/>
          <w:sz w:val="20"/>
          <w:szCs w:val="20"/>
        </w:rPr>
        <w:t>Acquisitions of subsidiaries and businesses are accounted for using the acquisition method</w:t>
      </w:r>
      <w:r>
        <w:rPr>
          <w:rFonts w:ascii="Arial" w:hAnsi="Arial" w:cs="Arial"/>
          <w:sz w:val="20"/>
          <w:szCs w:val="20"/>
        </w:rPr>
        <w:t>, with the exception of The Rangers Football Club Limited, for which merger accounting has been applied</w:t>
      </w:r>
      <w:r w:rsidRPr="00DD509F">
        <w:rPr>
          <w:rFonts w:ascii="Arial" w:hAnsi="Arial" w:cs="Arial"/>
          <w:sz w:val="20"/>
          <w:szCs w:val="20"/>
        </w:rPr>
        <w:t xml:space="preserve">. The </w:t>
      </w:r>
      <w:r w:rsidRPr="00DD509F">
        <w:rPr>
          <w:rFonts w:ascii="Arial" w:hAnsi="Arial" w:cs="Arial"/>
          <w:spacing w:val="-2"/>
          <w:sz w:val="20"/>
          <w:szCs w:val="20"/>
        </w:rPr>
        <w:t>consideration for each acquisition is measured at the aggregate of the fair values (at the date of exchange)</w:t>
      </w:r>
      <w:r w:rsidRPr="00DD509F">
        <w:rPr>
          <w:rFonts w:ascii="Arial" w:hAnsi="Arial" w:cs="Arial"/>
          <w:sz w:val="20"/>
          <w:szCs w:val="20"/>
        </w:rPr>
        <w:t xml:space="preserve"> of assets given, liabilities incurred or assumed, and equity instruments issued by the Group in </w:t>
      </w:r>
      <w:r w:rsidRPr="00DD509F">
        <w:rPr>
          <w:rFonts w:ascii="Arial" w:hAnsi="Arial" w:cs="Arial"/>
          <w:spacing w:val="-2"/>
          <w:sz w:val="20"/>
          <w:szCs w:val="20"/>
        </w:rPr>
        <w:t>exchange for control of the acquiree. Acquisition-related costs are recognised in profit or loss as incurred.</w:t>
      </w:r>
    </w:p>
    <w:p w:rsidR="00B44B33" w:rsidRDefault="00B44B33" w:rsidP="00177AD8">
      <w:pPr>
        <w:jc w:val="both"/>
        <w:rPr>
          <w:rFonts w:ascii="Arial" w:hAnsi="Arial" w:cs="Arial"/>
          <w:sz w:val="20"/>
          <w:szCs w:val="20"/>
        </w:rPr>
      </w:pPr>
      <w:r w:rsidRPr="00DD509F">
        <w:rPr>
          <w:rFonts w:ascii="Arial" w:hAnsi="Arial" w:cs="Arial"/>
          <w:sz w:val="20"/>
          <w:szCs w:val="20"/>
        </w:rPr>
        <w:t>The acquiree’s identifiable assets, liabilities and contingent liabilities that meet the conditions for recognition under IFRS 3(2008) are recognised at their fair value at the acquisition date, except that:</w:t>
      </w:r>
    </w:p>
    <w:p w:rsidR="00B44B33" w:rsidRPr="00DD509F" w:rsidRDefault="00B44B33" w:rsidP="00177AD8">
      <w:pPr>
        <w:jc w:val="both"/>
        <w:rPr>
          <w:rFonts w:ascii="Arial" w:hAnsi="Arial" w:cs="Arial"/>
          <w:sz w:val="20"/>
          <w:szCs w:val="20"/>
        </w:rPr>
      </w:pPr>
    </w:p>
    <w:p w:rsidR="00B44B33" w:rsidRDefault="00B44B33" w:rsidP="00AE07D8">
      <w:pPr>
        <w:numPr>
          <w:ilvl w:val="0"/>
          <w:numId w:val="3"/>
        </w:numPr>
        <w:tabs>
          <w:tab w:val="clear" w:pos="576"/>
          <w:tab w:val="num" w:pos="720"/>
        </w:tabs>
        <w:ind w:left="720" w:hanging="180"/>
        <w:jc w:val="both"/>
        <w:rPr>
          <w:rFonts w:ascii="Arial" w:hAnsi="Arial" w:cs="Arial"/>
          <w:b/>
          <w:bCs/>
          <w:sz w:val="20"/>
          <w:szCs w:val="20"/>
        </w:rPr>
      </w:pPr>
      <w:r>
        <w:rPr>
          <w:rFonts w:ascii="Arial" w:hAnsi="Arial" w:cs="Arial"/>
          <w:sz w:val="20"/>
          <w:szCs w:val="20"/>
        </w:rPr>
        <w:t>d</w:t>
      </w:r>
      <w:r w:rsidRPr="00DD509F">
        <w:rPr>
          <w:rFonts w:ascii="Arial" w:hAnsi="Arial" w:cs="Arial"/>
          <w:sz w:val="20"/>
          <w:szCs w:val="20"/>
        </w:rPr>
        <w:t>eferred tax assets or liabilities and liabilities or assets related to employee benefit arrangements are recognised and measured in accordance with IAS 12 Income Taxes and IAS 19 Employee Benefits respectively</w:t>
      </w:r>
      <w:r>
        <w:rPr>
          <w:rFonts w:ascii="Arial" w:hAnsi="Arial" w:cs="Arial"/>
          <w:sz w:val="20"/>
          <w:szCs w:val="20"/>
        </w:rPr>
        <w:t>.</w:t>
      </w:r>
    </w:p>
    <w:p w:rsidR="00B44B33" w:rsidRPr="00DD509F" w:rsidRDefault="00B44B33" w:rsidP="00177AD8">
      <w:pPr>
        <w:jc w:val="both"/>
        <w:rPr>
          <w:rFonts w:ascii="Arial" w:hAnsi="Arial" w:cs="Arial"/>
          <w:sz w:val="20"/>
          <w:szCs w:val="20"/>
        </w:rPr>
      </w:pPr>
    </w:p>
    <w:p w:rsidR="00B44B33" w:rsidRPr="00D77437" w:rsidRDefault="00B44B33" w:rsidP="00177AD8">
      <w:pPr>
        <w:jc w:val="both"/>
        <w:rPr>
          <w:rFonts w:ascii="Arial" w:hAnsi="Arial" w:cs="Arial"/>
          <w:bCs/>
          <w:iCs/>
          <w:sz w:val="20"/>
          <w:szCs w:val="20"/>
        </w:rPr>
      </w:pPr>
      <w:r w:rsidRPr="00D77437">
        <w:rPr>
          <w:rFonts w:ascii="Arial" w:hAnsi="Arial" w:cs="Arial"/>
          <w:bCs/>
          <w:iCs/>
          <w:sz w:val="20"/>
          <w:szCs w:val="20"/>
        </w:rPr>
        <w:t>Non-controlling interests in subsidiaries are identified separately from the Group</w:t>
      </w:r>
      <w:r>
        <w:rPr>
          <w:rFonts w:ascii="Arial" w:hAnsi="Arial" w:cs="Arial"/>
          <w:bCs/>
          <w:iCs/>
          <w:sz w:val="20"/>
          <w:szCs w:val="20"/>
        </w:rPr>
        <w:t>’</w:t>
      </w:r>
      <w:r w:rsidRPr="00D77437">
        <w:rPr>
          <w:rFonts w:ascii="Arial" w:hAnsi="Arial" w:cs="Arial"/>
          <w:bCs/>
          <w:iCs/>
          <w:sz w:val="20"/>
          <w:szCs w:val="20"/>
        </w:rPr>
        <w:t>s equity therein. The choice of measurement is made on an acquisition-by-acquisition basis. Subsequent to acquisition, the carrying amount of non-controlling interest is the amount of those interests at initial recognition plus the non-controlling interests</w:t>
      </w:r>
      <w:r>
        <w:rPr>
          <w:rFonts w:ascii="Arial" w:hAnsi="Arial" w:cs="Arial"/>
          <w:bCs/>
          <w:iCs/>
          <w:sz w:val="20"/>
          <w:szCs w:val="20"/>
        </w:rPr>
        <w:t>’</w:t>
      </w:r>
      <w:r w:rsidRPr="00D77437">
        <w:rPr>
          <w:rFonts w:ascii="Arial" w:hAnsi="Arial" w:cs="Arial"/>
          <w:bCs/>
          <w:iCs/>
          <w:sz w:val="20"/>
          <w:szCs w:val="20"/>
        </w:rPr>
        <w:t xml:space="preserve"> share of subsequent changes in equity. </w:t>
      </w:r>
    </w:p>
    <w:p w:rsidR="00B44B33" w:rsidRDefault="00B44B33" w:rsidP="00177AD8">
      <w:pPr>
        <w:jc w:val="both"/>
        <w:rPr>
          <w:rFonts w:ascii="Arial" w:hAnsi="Arial" w:cs="Arial"/>
          <w:b/>
          <w:bCs/>
          <w:i/>
          <w:iCs/>
          <w:sz w:val="20"/>
          <w:szCs w:val="20"/>
        </w:rPr>
      </w:pPr>
    </w:p>
    <w:p w:rsidR="00B44B33" w:rsidRDefault="00B44B33" w:rsidP="00177AD8">
      <w:pPr>
        <w:jc w:val="both"/>
        <w:rPr>
          <w:rFonts w:ascii="Arial" w:hAnsi="Arial" w:cs="Arial"/>
          <w:b/>
          <w:bCs/>
          <w:i/>
          <w:iCs/>
          <w:sz w:val="20"/>
          <w:szCs w:val="20"/>
        </w:rPr>
      </w:pPr>
      <w:r w:rsidRPr="00DD509F">
        <w:rPr>
          <w:rFonts w:ascii="Arial" w:hAnsi="Arial" w:cs="Arial"/>
          <w:b/>
          <w:bCs/>
          <w:i/>
          <w:iCs/>
          <w:sz w:val="20"/>
          <w:szCs w:val="20"/>
        </w:rPr>
        <w:t>Goodwill</w:t>
      </w:r>
    </w:p>
    <w:p w:rsidR="00B44B33" w:rsidRPr="00DD509F" w:rsidRDefault="00B44B33" w:rsidP="00177AD8">
      <w:pPr>
        <w:jc w:val="both"/>
        <w:rPr>
          <w:rFonts w:ascii="Arial" w:hAnsi="Arial" w:cs="Arial"/>
          <w:b/>
          <w:bCs/>
          <w:i/>
          <w:iCs/>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 xml:space="preserve">Goodwill arising in a business combination is recognised as an asset at the date that control is acquired </w:t>
      </w:r>
      <w:r w:rsidRPr="00DD509F">
        <w:rPr>
          <w:rFonts w:ascii="Arial" w:hAnsi="Arial" w:cs="Arial"/>
          <w:spacing w:val="-2"/>
          <w:sz w:val="20"/>
          <w:szCs w:val="20"/>
        </w:rPr>
        <w:t>(the acquisition date). Goodwill is measured as the excess of the sum of the consideration transferred, the</w:t>
      </w:r>
      <w:r w:rsidRPr="00DD509F">
        <w:rPr>
          <w:rFonts w:ascii="Arial" w:hAnsi="Arial" w:cs="Arial"/>
          <w:sz w:val="20"/>
          <w:szCs w:val="20"/>
        </w:rPr>
        <w:t xml:space="preserve"> </w:t>
      </w:r>
      <w:r w:rsidRPr="00DD509F">
        <w:rPr>
          <w:rFonts w:ascii="Arial" w:hAnsi="Arial" w:cs="Arial"/>
          <w:spacing w:val="-2"/>
          <w:sz w:val="20"/>
          <w:szCs w:val="20"/>
        </w:rPr>
        <w:t>amount of any non-controlling interest in the acquiree and the fair value of the acquirer’s previously held</w:t>
      </w:r>
      <w:r w:rsidRPr="00DD509F">
        <w:rPr>
          <w:rFonts w:ascii="Arial" w:hAnsi="Arial" w:cs="Arial"/>
          <w:sz w:val="20"/>
          <w:szCs w:val="20"/>
        </w:rPr>
        <w:t xml:space="preserve"> </w:t>
      </w:r>
      <w:r w:rsidRPr="00DD509F">
        <w:rPr>
          <w:rFonts w:ascii="Arial" w:hAnsi="Arial" w:cs="Arial"/>
          <w:spacing w:val="-2"/>
          <w:sz w:val="20"/>
          <w:szCs w:val="20"/>
        </w:rPr>
        <w:t>equity interest (if any) in the entity over the net of the acquisition-date amounts of the identifiable assets</w:t>
      </w:r>
      <w:r w:rsidRPr="00DD509F">
        <w:rPr>
          <w:rFonts w:ascii="Arial" w:hAnsi="Arial" w:cs="Arial"/>
          <w:sz w:val="20"/>
          <w:szCs w:val="20"/>
        </w:rPr>
        <w:t xml:space="preserve"> acquired and the liabilities assumed.</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pacing w:val="-2"/>
          <w:sz w:val="20"/>
          <w:szCs w:val="20"/>
        </w:rPr>
      </w:pPr>
      <w:r w:rsidRPr="00DD509F">
        <w:rPr>
          <w:rFonts w:ascii="Arial" w:hAnsi="Arial" w:cs="Arial"/>
          <w:spacing w:val="-2"/>
          <w:sz w:val="20"/>
          <w:szCs w:val="20"/>
        </w:rPr>
        <w:t>If, after reassessment, the Group’s interest in the fair value of the acquiree’s identifiable net assets</w:t>
      </w:r>
      <w:r w:rsidRPr="00DD509F">
        <w:rPr>
          <w:rFonts w:ascii="Arial" w:hAnsi="Arial" w:cs="Arial"/>
          <w:sz w:val="20"/>
          <w:szCs w:val="20"/>
        </w:rPr>
        <w:t xml:space="preserve"> exceeds the sum of the consideration transferred, the amount of any non-controlling interest in the acquiree and the fair value of the acquirer’s previously held equity interest in the acquiree (if any), the </w:t>
      </w:r>
      <w:r w:rsidRPr="00DD509F">
        <w:rPr>
          <w:rFonts w:ascii="Arial" w:hAnsi="Arial" w:cs="Arial"/>
          <w:spacing w:val="-2"/>
          <w:sz w:val="20"/>
          <w:szCs w:val="20"/>
        </w:rPr>
        <w:t>excess is recognised immediately in the consolidated income statement as a release of negative goodwill.</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b/>
          <w:bCs/>
          <w:i/>
          <w:iCs/>
          <w:sz w:val="20"/>
          <w:szCs w:val="20"/>
        </w:rPr>
      </w:pPr>
      <w:r w:rsidRPr="00DD509F">
        <w:rPr>
          <w:rFonts w:ascii="Arial" w:hAnsi="Arial" w:cs="Arial"/>
          <w:b/>
          <w:bCs/>
          <w:i/>
          <w:iCs/>
          <w:sz w:val="20"/>
          <w:szCs w:val="20"/>
        </w:rPr>
        <w:t>Revenue recognition</w:t>
      </w:r>
    </w:p>
    <w:p w:rsidR="00B44B33" w:rsidRPr="00DD509F" w:rsidRDefault="00B44B33" w:rsidP="00177AD8">
      <w:pPr>
        <w:jc w:val="both"/>
        <w:rPr>
          <w:rFonts w:ascii="Arial" w:hAnsi="Arial" w:cs="Arial"/>
          <w:b/>
          <w:bCs/>
          <w:i/>
          <w:iCs/>
          <w:sz w:val="20"/>
          <w:szCs w:val="20"/>
        </w:rPr>
      </w:pPr>
    </w:p>
    <w:p w:rsidR="00B44B33" w:rsidRDefault="00B44B33" w:rsidP="00177AD8">
      <w:pPr>
        <w:jc w:val="both"/>
        <w:rPr>
          <w:rFonts w:ascii="Arial" w:hAnsi="Arial" w:cs="Arial"/>
          <w:sz w:val="20"/>
          <w:szCs w:val="20"/>
        </w:rPr>
      </w:pPr>
      <w:r w:rsidRPr="00DD509F">
        <w:rPr>
          <w:rFonts w:ascii="Arial" w:hAnsi="Arial" w:cs="Arial"/>
          <w:spacing w:val="-2"/>
          <w:sz w:val="20"/>
          <w:szCs w:val="20"/>
        </w:rPr>
        <w:t>Revenue is measured at the fair value of the consideration received or receivable and represents amounts</w:t>
      </w:r>
      <w:r w:rsidRPr="00DD509F">
        <w:rPr>
          <w:rFonts w:ascii="Arial" w:hAnsi="Arial" w:cs="Arial"/>
          <w:sz w:val="20"/>
          <w:szCs w:val="20"/>
        </w:rPr>
        <w:t xml:space="preserve"> receivable in the normal course of business, net of discounts, VAT and other sales-related tax.</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Merchandising revenue is recognised when goods are delivered and title has passed.</w:t>
      </w:r>
    </w:p>
    <w:p w:rsidR="00B44B33" w:rsidRPr="00DD509F" w:rsidRDefault="00B44B33" w:rsidP="00177AD8">
      <w:pPr>
        <w:jc w:val="both"/>
        <w:rPr>
          <w:rFonts w:ascii="Arial" w:hAnsi="Arial" w:cs="Arial"/>
          <w:sz w:val="20"/>
          <w:szCs w:val="20"/>
        </w:rPr>
      </w:pPr>
    </w:p>
    <w:p w:rsidR="00B44B33" w:rsidRPr="00DD509F" w:rsidRDefault="00B44B33" w:rsidP="00177AD8">
      <w:pPr>
        <w:jc w:val="both"/>
        <w:rPr>
          <w:rFonts w:ascii="Arial" w:hAnsi="Arial" w:cs="Arial"/>
          <w:sz w:val="20"/>
          <w:szCs w:val="20"/>
        </w:rPr>
      </w:pPr>
      <w:r w:rsidRPr="00DD509F">
        <w:rPr>
          <w:rFonts w:ascii="Arial" w:hAnsi="Arial" w:cs="Arial"/>
          <w:spacing w:val="-2"/>
          <w:sz w:val="20"/>
          <w:szCs w:val="20"/>
        </w:rPr>
        <w:t>Gate receipts and other match day revenue are recognised as the games are played. Prize money in respect</w:t>
      </w:r>
      <w:r w:rsidRPr="00DD509F">
        <w:rPr>
          <w:rFonts w:ascii="Arial" w:hAnsi="Arial" w:cs="Arial"/>
          <w:sz w:val="20"/>
          <w:szCs w:val="20"/>
        </w:rPr>
        <w:t xml:space="preserve"> of cup competitions is recognised when </w:t>
      </w:r>
      <w:r>
        <w:rPr>
          <w:rFonts w:ascii="Arial" w:hAnsi="Arial" w:cs="Arial"/>
          <w:sz w:val="20"/>
          <w:szCs w:val="20"/>
        </w:rPr>
        <w:t>earned</w:t>
      </w:r>
      <w:r w:rsidRPr="00DD509F">
        <w:rPr>
          <w:rFonts w:ascii="Arial" w:hAnsi="Arial" w:cs="Arial"/>
          <w:sz w:val="20"/>
          <w:szCs w:val="20"/>
        </w:rPr>
        <w:t>. Sponsorship and similar commercial income is recognised over the duration of the respective contracts. The fixed element of broadcasting revenues is recognised over the duration of the football season whilst facility fees received for live coverage or highlights are taken when earned. Merit awards are accounted for only when known at the end of the football season.</w:t>
      </w:r>
    </w:p>
    <w:p w:rsidR="00B44B33" w:rsidRPr="00DD509F" w:rsidRDefault="00B44B33" w:rsidP="00177AD8">
      <w:pPr>
        <w:jc w:val="both"/>
        <w:rPr>
          <w:rFonts w:ascii="Arial" w:hAnsi="Arial" w:cs="Arial"/>
          <w:b/>
          <w:bCs/>
          <w:i/>
          <w:iCs/>
          <w:sz w:val="20"/>
          <w:szCs w:val="20"/>
        </w:rPr>
      </w:pPr>
    </w:p>
    <w:p w:rsidR="00B44B33" w:rsidRDefault="00B44B33" w:rsidP="00177AD8">
      <w:pPr>
        <w:jc w:val="both"/>
        <w:rPr>
          <w:rFonts w:ascii="Arial" w:hAnsi="Arial" w:cs="Arial"/>
          <w:b/>
          <w:bCs/>
          <w:i/>
          <w:iCs/>
          <w:sz w:val="20"/>
          <w:szCs w:val="20"/>
        </w:rPr>
      </w:pPr>
      <w:r w:rsidRPr="00DD509F">
        <w:rPr>
          <w:rFonts w:ascii="Arial" w:hAnsi="Arial" w:cs="Arial"/>
          <w:b/>
          <w:bCs/>
          <w:i/>
          <w:iCs/>
          <w:sz w:val="20"/>
          <w:szCs w:val="20"/>
        </w:rPr>
        <w:t>Taxation</w:t>
      </w:r>
    </w:p>
    <w:p w:rsidR="00B44B33" w:rsidRPr="00DD509F" w:rsidRDefault="00B44B33" w:rsidP="00177AD8">
      <w:pPr>
        <w:jc w:val="both"/>
        <w:rPr>
          <w:rFonts w:ascii="Arial" w:hAnsi="Arial" w:cs="Arial"/>
          <w:b/>
          <w:bCs/>
          <w:i/>
          <w:iCs/>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The tax expense represents the sum of the tax currently payable and deferred tax.</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 xml:space="preserve">The tax currently payable is based on taxable profit for the period. Taxable profits differ from net profit </w:t>
      </w:r>
      <w:r w:rsidRPr="00DD509F">
        <w:rPr>
          <w:rFonts w:ascii="Arial" w:hAnsi="Arial" w:cs="Arial"/>
          <w:spacing w:val="-2"/>
          <w:sz w:val="20"/>
          <w:szCs w:val="20"/>
        </w:rPr>
        <w:t>as reported in the income statement because they exclude items of income or expense that are taxable or</w:t>
      </w:r>
      <w:r w:rsidRPr="00DD509F">
        <w:rPr>
          <w:rFonts w:ascii="Arial" w:hAnsi="Arial" w:cs="Arial"/>
          <w:sz w:val="20"/>
          <w:szCs w:val="20"/>
        </w:rPr>
        <w:t xml:space="preserve"> deductible in other years and they further exclude items that are never taxable or deductible. The Group’s liability for current tax is calculated using tax rates that have been substantively enacted by the balance sheet date.</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pacing w:val="-2"/>
          <w:sz w:val="20"/>
          <w:szCs w:val="20"/>
        </w:rPr>
        <w:t>Deferred tax is the tax expected to be payable on the differences between the carrying amounts of assets</w:t>
      </w:r>
      <w:r w:rsidRPr="00DD509F">
        <w:rPr>
          <w:rFonts w:ascii="Arial" w:hAnsi="Arial" w:cs="Arial"/>
          <w:sz w:val="20"/>
          <w:szCs w:val="20"/>
        </w:rPr>
        <w:t xml:space="preserve"> and liabilities in the financial statements and the corresponding tax bases used in the computation of taxable profit and is accounted for using the balance sheet liability method. Deferred tax liabilities are generally recognised for all taxable temporary differences and deferred tax assets are recognised to the extent that it is probable that taxable profits will be available against which deductible temporary differences can be utilised. Deferred tax is charged or credited in the income statement</w:t>
      </w:r>
      <w:r>
        <w:rPr>
          <w:rFonts w:ascii="Arial" w:hAnsi="Arial" w:cs="Arial"/>
          <w:sz w:val="20"/>
          <w:szCs w:val="20"/>
        </w:rPr>
        <w:t xml:space="preserve"> or in the statement of comprehensive income, where appropriate</w:t>
      </w:r>
      <w:r w:rsidRPr="00DD509F">
        <w:rPr>
          <w:rFonts w:ascii="Arial" w:hAnsi="Arial" w:cs="Arial"/>
          <w:sz w:val="20"/>
          <w:szCs w:val="20"/>
        </w:rPr>
        <w:t>.</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b/>
          <w:bCs/>
          <w:i/>
          <w:iCs/>
          <w:sz w:val="20"/>
          <w:szCs w:val="20"/>
        </w:rPr>
      </w:pPr>
    </w:p>
    <w:p w:rsidR="00B44B33" w:rsidRDefault="00B44B33" w:rsidP="00177AD8">
      <w:pPr>
        <w:jc w:val="both"/>
        <w:rPr>
          <w:rFonts w:ascii="Arial" w:hAnsi="Arial" w:cs="Arial"/>
          <w:b/>
          <w:bCs/>
          <w:i/>
          <w:iCs/>
          <w:sz w:val="20"/>
          <w:szCs w:val="20"/>
        </w:rPr>
      </w:pPr>
    </w:p>
    <w:p w:rsidR="00B44B33" w:rsidRDefault="00B44B33" w:rsidP="00177AD8">
      <w:pPr>
        <w:jc w:val="both"/>
        <w:rPr>
          <w:rFonts w:ascii="Arial" w:hAnsi="Arial" w:cs="Arial"/>
          <w:b/>
          <w:bCs/>
          <w:i/>
          <w:iCs/>
          <w:sz w:val="20"/>
          <w:szCs w:val="20"/>
        </w:rPr>
      </w:pPr>
      <w:r w:rsidRPr="00DD509F">
        <w:rPr>
          <w:rFonts w:ascii="Arial" w:hAnsi="Arial" w:cs="Arial"/>
          <w:b/>
          <w:bCs/>
          <w:i/>
          <w:iCs/>
          <w:sz w:val="20"/>
          <w:szCs w:val="20"/>
        </w:rPr>
        <w:t>Brand intangible assets</w:t>
      </w:r>
    </w:p>
    <w:p w:rsidR="00B44B33" w:rsidRPr="00DD509F" w:rsidRDefault="00B44B33" w:rsidP="00177AD8">
      <w:pPr>
        <w:jc w:val="both"/>
        <w:rPr>
          <w:rFonts w:ascii="Arial" w:hAnsi="Arial" w:cs="Arial"/>
          <w:b/>
          <w:bCs/>
          <w:i/>
          <w:iCs/>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The Group only carr</w:t>
      </w:r>
      <w:r>
        <w:rPr>
          <w:rFonts w:ascii="Arial" w:hAnsi="Arial" w:cs="Arial"/>
          <w:sz w:val="20"/>
          <w:szCs w:val="20"/>
        </w:rPr>
        <w:t>ies</w:t>
      </w:r>
      <w:r w:rsidRPr="00DD509F">
        <w:rPr>
          <w:rFonts w:ascii="Arial" w:hAnsi="Arial" w:cs="Arial"/>
          <w:sz w:val="20"/>
          <w:szCs w:val="20"/>
        </w:rPr>
        <w:t xml:space="preserve"> brand intangible assets on the condensed consolidated Balance Sheet that have been acquired. Acquired brands are carried at cost</w:t>
      </w:r>
      <w:r>
        <w:rPr>
          <w:rFonts w:ascii="Arial" w:hAnsi="Arial" w:cs="Arial"/>
          <w:sz w:val="20"/>
          <w:szCs w:val="20"/>
        </w:rPr>
        <w:t>, being estimated fair value on acquisition,</w:t>
      </w:r>
      <w:r w:rsidRPr="00DD509F">
        <w:rPr>
          <w:rFonts w:ascii="Arial" w:hAnsi="Arial" w:cs="Arial"/>
          <w:sz w:val="20"/>
          <w:szCs w:val="20"/>
        </w:rPr>
        <w:t xml:space="preserve"> on the Consolidated Balance Sheet. Subject to an </w:t>
      </w:r>
      <w:r w:rsidRPr="00DD509F">
        <w:rPr>
          <w:rFonts w:ascii="Arial" w:hAnsi="Arial" w:cs="Arial"/>
          <w:spacing w:val="-2"/>
          <w:sz w:val="20"/>
          <w:szCs w:val="20"/>
        </w:rPr>
        <w:t>impairment review, no amortisation is charged on those brand intangible assets which the Board believes</w:t>
      </w:r>
      <w:r w:rsidRPr="00DD509F">
        <w:rPr>
          <w:rFonts w:ascii="Arial" w:hAnsi="Arial" w:cs="Arial"/>
          <w:sz w:val="20"/>
          <w:szCs w:val="20"/>
        </w:rPr>
        <w:t xml:space="preserve"> have an indefinite life.</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 xml:space="preserve">The Group carries out an impairment review on the brand intangible assets, at least annually, or </w:t>
      </w:r>
      <w:r w:rsidRPr="00DD509F">
        <w:rPr>
          <w:rFonts w:ascii="Arial" w:hAnsi="Arial" w:cs="Arial"/>
          <w:spacing w:val="-2"/>
          <w:sz w:val="20"/>
          <w:szCs w:val="20"/>
        </w:rPr>
        <w:t>when a change in circumstances or situation indicates that those assets have suffered an impairment loss.</w:t>
      </w:r>
      <w:r w:rsidRPr="00DD509F">
        <w:rPr>
          <w:rFonts w:ascii="Arial" w:hAnsi="Arial" w:cs="Arial"/>
          <w:sz w:val="20"/>
          <w:szCs w:val="20"/>
        </w:rPr>
        <w:t xml:space="preserve"> Impairment is measured by comparing the carrying amount of an intangible asset with the ‘recoverable </w:t>
      </w:r>
      <w:r w:rsidRPr="00DD509F">
        <w:rPr>
          <w:rFonts w:ascii="Arial" w:hAnsi="Arial" w:cs="Arial"/>
          <w:spacing w:val="-3"/>
          <w:sz w:val="20"/>
          <w:szCs w:val="20"/>
        </w:rPr>
        <w:t>amount’ that is the higher of its fair value less costs to sell and its ‘value in use’. ‘Value in use’ is calculated</w:t>
      </w:r>
      <w:r w:rsidRPr="00DD509F">
        <w:rPr>
          <w:rFonts w:ascii="Arial" w:hAnsi="Arial" w:cs="Arial"/>
          <w:sz w:val="20"/>
          <w:szCs w:val="20"/>
        </w:rPr>
        <w:t xml:space="preserve"> </w:t>
      </w:r>
      <w:r w:rsidRPr="00DD509F">
        <w:rPr>
          <w:rFonts w:ascii="Arial" w:hAnsi="Arial" w:cs="Arial"/>
          <w:spacing w:val="-2"/>
          <w:sz w:val="20"/>
          <w:szCs w:val="20"/>
        </w:rPr>
        <w:t>by discounting the expected future cash flows, using a discount rate based on an estimate of the rate that</w:t>
      </w:r>
      <w:r w:rsidRPr="00DD509F">
        <w:rPr>
          <w:rFonts w:ascii="Arial" w:hAnsi="Arial" w:cs="Arial"/>
          <w:sz w:val="20"/>
          <w:szCs w:val="20"/>
        </w:rPr>
        <w:t xml:space="preserve"> the market would expect on an investment of comparable risk.</w:t>
      </w:r>
    </w:p>
    <w:p w:rsidR="00B44B33" w:rsidRDefault="00B44B33" w:rsidP="00177AD8">
      <w:pPr>
        <w:jc w:val="both"/>
        <w:rPr>
          <w:rFonts w:ascii="Arial" w:hAnsi="Arial" w:cs="Arial"/>
          <w:sz w:val="20"/>
          <w:szCs w:val="20"/>
        </w:rPr>
      </w:pPr>
    </w:p>
    <w:p w:rsidR="00B44B33" w:rsidRPr="00AE07D8" w:rsidRDefault="00B44B33" w:rsidP="00177AD8">
      <w:pPr>
        <w:jc w:val="both"/>
        <w:rPr>
          <w:rFonts w:ascii="Arial" w:hAnsi="Arial" w:cs="Arial"/>
          <w:b/>
          <w:i/>
          <w:sz w:val="20"/>
          <w:szCs w:val="20"/>
        </w:rPr>
      </w:pPr>
      <w:r w:rsidRPr="00AE07D8">
        <w:rPr>
          <w:rFonts w:ascii="Arial" w:hAnsi="Arial" w:cs="Arial"/>
          <w:b/>
          <w:i/>
          <w:sz w:val="20"/>
          <w:szCs w:val="20"/>
        </w:rPr>
        <w:t>Player registrations</w:t>
      </w:r>
    </w:p>
    <w:p w:rsidR="00B44B33" w:rsidRDefault="00B44B33" w:rsidP="00177AD8">
      <w:pPr>
        <w:jc w:val="both"/>
        <w:rPr>
          <w:rFonts w:ascii="Arial" w:hAnsi="Arial" w:cs="Arial"/>
          <w:sz w:val="20"/>
          <w:szCs w:val="20"/>
        </w:rPr>
      </w:pPr>
    </w:p>
    <w:p w:rsidR="00B44B33" w:rsidRPr="00DD509F" w:rsidRDefault="00B44B33" w:rsidP="00177AD8">
      <w:pPr>
        <w:jc w:val="both"/>
        <w:rPr>
          <w:rFonts w:ascii="Arial" w:hAnsi="Arial" w:cs="Arial"/>
          <w:sz w:val="20"/>
          <w:szCs w:val="20"/>
        </w:rPr>
      </w:pPr>
      <w:r>
        <w:rPr>
          <w:rFonts w:ascii="Arial" w:hAnsi="Arial" w:cs="Arial"/>
          <w:sz w:val="20"/>
          <w:szCs w:val="20"/>
        </w:rPr>
        <w:t>The costs associated with acquiring players’ registrations, or extending their contracts, including agents’ fees, are capitalised and amortised, in equal installments, over the period of the respective players’ contracts. When a contract life is renegotiated, the unamortised costs, together with the new costs relating to the contract extension, are amortised over the term of the new contract. Where the acquisition of a player registration involves a non-cash consideration, such as an exchange for another player registration, the transaction is accounted for using an estimate of market value for the non-cash consideration. Under the conditions of certain transfer agreements, further fees will be payable in the event of the players concerned making a certain number of first team appearances or on the occurrence of certain other specified future events. Liabilities in respect of these fees are accounted for as provisions, when it becomes probable that the number of appearances will be achieved or the specified future events will occur. These additional costs are capitalised and amortised as above.</w:t>
      </w:r>
    </w:p>
    <w:p w:rsidR="00B44B33" w:rsidRPr="00DD509F" w:rsidRDefault="00B44B33" w:rsidP="00177AD8">
      <w:pPr>
        <w:jc w:val="both"/>
        <w:rPr>
          <w:rFonts w:ascii="Arial" w:hAnsi="Arial" w:cs="Arial"/>
          <w:b/>
          <w:bCs/>
          <w:i/>
          <w:iCs/>
          <w:sz w:val="20"/>
          <w:szCs w:val="20"/>
        </w:rPr>
      </w:pPr>
    </w:p>
    <w:p w:rsidR="00B44B33" w:rsidRDefault="00B44B33" w:rsidP="00177AD8">
      <w:pPr>
        <w:jc w:val="both"/>
        <w:rPr>
          <w:rFonts w:ascii="Arial" w:hAnsi="Arial" w:cs="Arial"/>
          <w:b/>
          <w:bCs/>
          <w:i/>
          <w:iCs/>
          <w:sz w:val="20"/>
          <w:szCs w:val="20"/>
        </w:rPr>
      </w:pPr>
      <w:r w:rsidRPr="00DD509F">
        <w:rPr>
          <w:rFonts w:ascii="Arial" w:hAnsi="Arial" w:cs="Arial"/>
          <w:b/>
          <w:bCs/>
          <w:i/>
          <w:iCs/>
          <w:sz w:val="20"/>
          <w:szCs w:val="20"/>
        </w:rPr>
        <w:t>Property, plant and equipment</w:t>
      </w:r>
    </w:p>
    <w:p w:rsidR="00B44B33" w:rsidRPr="00DD509F" w:rsidRDefault="00B44B33" w:rsidP="00177AD8">
      <w:pPr>
        <w:jc w:val="both"/>
        <w:rPr>
          <w:rFonts w:ascii="Arial" w:hAnsi="Arial" w:cs="Arial"/>
          <w:b/>
          <w:bCs/>
          <w:i/>
          <w:iCs/>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Land and buildings held for use</w:t>
      </w:r>
      <w:r>
        <w:rPr>
          <w:rFonts w:ascii="Arial" w:hAnsi="Arial" w:cs="Arial"/>
          <w:sz w:val="20"/>
          <w:szCs w:val="20"/>
        </w:rPr>
        <w:t xml:space="preserve"> in</w:t>
      </w:r>
      <w:r w:rsidRPr="00DD509F">
        <w:rPr>
          <w:rFonts w:ascii="Arial" w:hAnsi="Arial" w:cs="Arial"/>
          <w:sz w:val="20"/>
          <w:szCs w:val="20"/>
        </w:rPr>
        <w:t xml:space="preserve"> </w:t>
      </w:r>
      <w:r>
        <w:rPr>
          <w:rFonts w:ascii="Arial" w:hAnsi="Arial" w:cs="Arial"/>
          <w:sz w:val="20"/>
          <w:szCs w:val="20"/>
        </w:rPr>
        <w:t>operations</w:t>
      </w:r>
      <w:r w:rsidRPr="00DD509F">
        <w:rPr>
          <w:rFonts w:ascii="Arial" w:hAnsi="Arial" w:cs="Arial"/>
          <w:sz w:val="20"/>
          <w:szCs w:val="20"/>
        </w:rPr>
        <w:t>, or for administrative purposes, are stated in the balance sheet at their revalued amounts, being the fair value at the date of revaluation, less any subsequent accumulated depreciation and subsequent accumulated impairment losses. Revaluations are performed with sufficient regularity such that the carrying amount does not differ materially from that which would be determined using fair values at the balance sheet date.</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pacing w:val="-2"/>
          <w:sz w:val="20"/>
          <w:szCs w:val="20"/>
        </w:rPr>
        <w:t>Any revaluation increase arising on the revaluation of such land and buildings is credited to the properties</w:t>
      </w:r>
      <w:r w:rsidRPr="00DD509F">
        <w:rPr>
          <w:rFonts w:ascii="Arial" w:hAnsi="Arial" w:cs="Arial"/>
          <w:sz w:val="20"/>
          <w:szCs w:val="20"/>
        </w:rPr>
        <w:t xml:space="preserve"> revaluation reserve, except to the extent that it reverses a revaluation decrease for the same asset </w:t>
      </w:r>
      <w:r w:rsidRPr="00DD509F">
        <w:rPr>
          <w:rFonts w:ascii="Arial" w:hAnsi="Arial" w:cs="Arial"/>
          <w:spacing w:val="-2"/>
          <w:sz w:val="20"/>
          <w:szCs w:val="20"/>
        </w:rPr>
        <w:t>previously recognised as an expense, in which case the increase is credited to the income statement to the</w:t>
      </w:r>
      <w:r w:rsidRPr="00DD509F">
        <w:rPr>
          <w:rFonts w:ascii="Arial" w:hAnsi="Arial" w:cs="Arial"/>
          <w:sz w:val="20"/>
          <w:szCs w:val="20"/>
        </w:rPr>
        <w:t xml:space="preserve"> extent of the decrease previously expensed. A decrease in carrying amount arising on the revaluation of </w:t>
      </w:r>
      <w:r w:rsidRPr="00DD509F">
        <w:rPr>
          <w:rFonts w:ascii="Arial" w:hAnsi="Arial" w:cs="Arial"/>
          <w:spacing w:val="-2"/>
          <w:sz w:val="20"/>
          <w:szCs w:val="20"/>
        </w:rPr>
        <w:t>such land and buildings is charged as an expense to the extent that it exceeds the balance, if any, held in</w:t>
      </w:r>
      <w:r w:rsidRPr="00DD509F">
        <w:rPr>
          <w:rFonts w:ascii="Arial" w:hAnsi="Arial" w:cs="Arial"/>
          <w:sz w:val="20"/>
          <w:szCs w:val="20"/>
        </w:rPr>
        <w:t xml:space="preserve"> the properties revaluation reserve relating to a previous revaluation of that asset.</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 xml:space="preserve">Depreciation on revalued buildings is charged to </w:t>
      </w:r>
      <w:r>
        <w:rPr>
          <w:rFonts w:ascii="Arial" w:hAnsi="Arial" w:cs="Arial"/>
          <w:sz w:val="20"/>
          <w:szCs w:val="20"/>
        </w:rPr>
        <w:t xml:space="preserve">the </w:t>
      </w:r>
      <w:r w:rsidRPr="00DD509F">
        <w:rPr>
          <w:rFonts w:ascii="Arial" w:hAnsi="Arial" w:cs="Arial"/>
          <w:sz w:val="20"/>
          <w:szCs w:val="20"/>
        </w:rPr>
        <w:t>income</w:t>
      </w:r>
      <w:r>
        <w:rPr>
          <w:rFonts w:ascii="Arial" w:hAnsi="Arial" w:cs="Arial"/>
          <w:sz w:val="20"/>
          <w:szCs w:val="20"/>
        </w:rPr>
        <w:t xml:space="preserve"> statement</w:t>
      </w:r>
      <w:r w:rsidRPr="00DD509F">
        <w:rPr>
          <w:rFonts w:ascii="Arial" w:hAnsi="Arial" w:cs="Arial"/>
          <w:sz w:val="20"/>
          <w:szCs w:val="20"/>
        </w:rPr>
        <w:t>. On the subsequent sale or scrappage of a revalued property, the attributable revaluation surplus remaining in the properties revaluation reserve is transferred directly to retained earnings.</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pacing w:val="-2"/>
          <w:sz w:val="20"/>
          <w:szCs w:val="20"/>
        </w:rPr>
        <w:t>Freehold land is not depreciated. Leasehold property is amortised over the term of the lease. Other fixed</w:t>
      </w:r>
      <w:r w:rsidRPr="00DD509F">
        <w:rPr>
          <w:rFonts w:ascii="Arial" w:hAnsi="Arial" w:cs="Arial"/>
          <w:sz w:val="20"/>
          <w:szCs w:val="20"/>
        </w:rPr>
        <w:t xml:space="preserve"> assets are depreciated on a straight-line basis at annual rates appropriate to their estimated useful lives as follows:</w:t>
      </w:r>
    </w:p>
    <w:p w:rsidR="00B44B33" w:rsidRPr="00DD509F" w:rsidRDefault="00B44B33" w:rsidP="00177AD8">
      <w:pPr>
        <w:jc w:val="both"/>
        <w:rPr>
          <w:rFonts w:ascii="Arial" w:hAnsi="Arial" w:cs="Arial"/>
          <w:sz w:val="20"/>
          <w:szCs w:val="20"/>
        </w:rPr>
      </w:pPr>
    </w:p>
    <w:tbl>
      <w:tblPr>
        <w:tblW w:w="0" w:type="auto"/>
        <w:tblLook w:val="00A0" w:firstRow="1" w:lastRow="0" w:firstColumn="1" w:lastColumn="0" w:noHBand="0" w:noVBand="0"/>
      </w:tblPr>
      <w:tblGrid>
        <w:gridCol w:w="8188"/>
        <w:gridCol w:w="1358"/>
      </w:tblGrid>
      <w:tr w:rsidR="00B44B33" w:rsidTr="001858CE">
        <w:tc>
          <w:tcPr>
            <w:tcW w:w="8188" w:type="dxa"/>
          </w:tcPr>
          <w:p w:rsidR="00B44B33" w:rsidRPr="001858CE" w:rsidRDefault="00B44B33" w:rsidP="001858CE">
            <w:pPr>
              <w:tabs>
                <w:tab w:val="right" w:pos="9194"/>
              </w:tabs>
              <w:jc w:val="both"/>
              <w:rPr>
                <w:rFonts w:ascii="Arial" w:hAnsi="Arial" w:cs="Arial"/>
                <w:sz w:val="20"/>
                <w:szCs w:val="20"/>
              </w:rPr>
            </w:pPr>
            <w:r w:rsidRPr="001858CE">
              <w:rPr>
                <w:rFonts w:ascii="Arial" w:hAnsi="Arial" w:cs="Arial"/>
                <w:sz w:val="20"/>
                <w:szCs w:val="20"/>
              </w:rPr>
              <w:t>Freehold properties</w:t>
            </w:r>
          </w:p>
        </w:tc>
        <w:tc>
          <w:tcPr>
            <w:tcW w:w="1358" w:type="dxa"/>
          </w:tcPr>
          <w:p w:rsidR="00B44B33" w:rsidRPr="001858CE" w:rsidRDefault="00B44B33" w:rsidP="001858CE">
            <w:pPr>
              <w:tabs>
                <w:tab w:val="right" w:pos="9194"/>
              </w:tabs>
              <w:jc w:val="both"/>
              <w:rPr>
                <w:rFonts w:ascii="Arial" w:hAnsi="Arial" w:cs="Arial"/>
                <w:sz w:val="20"/>
                <w:szCs w:val="20"/>
              </w:rPr>
            </w:pPr>
            <w:r w:rsidRPr="001858CE">
              <w:rPr>
                <w:rFonts w:ascii="Arial" w:hAnsi="Arial" w:cs="Arial"/>
                <w:sz w:val="20"/>
                <w:szCs w:val="20"/>
              </w:rPr>
              <w:t>1% – 1.33%</w:t>
            </w:r>
          </w:p>
        </w:tc>
      </w:tr>
      <w:tr w:rsidR="00B44B33" w:rsidTr="001858CE">
        <w:tc>
          <w:tcPr>
            <w:tcW w:w="8188" w:type="dxa"/>
          </w:tcPr>
          <w:p w:rsidR="00B44B33" w:rsidRPr="001858CE" w:rsidRDefault="00B44B33" w:rsidP="001858CE">
            <w:pPr>
              <w:tabs>
                <w:tab w:val="right" w:pos="9194"/>
              </w:tabs>
              <w:jc w:val="both"/>
              <w:rPr>
                <w:rFonts w:ascii="Arial" w:hAnsi="Arial" w:cs="Arial"/>
                <w:sz w:val="20"/>
                <w:szCs w:val="20"/>
              </w:rPr>
            </w:pPr>
            <w:r w:rsidRPr="001858CE">
              <w:rPr>
                <w:rFonts w:ascii="Arial" w:hAnsi="Arial" w:cs="Arial"/>
                <w:sz w:val="20"/>
                <w:szCs w:val="20"/>
              </w:rPr>
              <w:t>Motor vehicles</w:t>
            </w:r>
          </w:p>
        </w:tc>
        <w:tc>
          <w:tcPr>
            <w:tcW w:w="1358" w:type="dxa"/>
          </w:tcPr>
          <w:p w:rsidR="00B44B33" w:rsidRPr="001858CE" w:rsidRDefault="00B44B33" w:rsidP="001858CE">
            <w:pPr>
              <w:tabs>
                <w:tab w:val="right" w:pos="9194"/>
              </w:tabs>
              <w:jc w:val="both"/>
              <w:rPr>
                <w:rFonts w:ascii="Arial" w:hAnsi="Arial" w:cs="Arial"/>
                <w:sz w:val="20"/>
                <w:szCs w:val="20"/>
              </w:rPr>
            </w:pPr>
            <w:r w:rsidRPr="001858CE">
              <w:rPr>
                <w:rFonts w:ascii="Arial" w:hAnsi="Arial" w:cs="Arial"/>
                <w:sz w:val="20"/>
                <w:szCs w:val="20"/>
              </w:rPr>
              <w:t>20%</w:t>
            </w:r>
          </w:p>
        </w:tc>
      </w:tr>
      <w:tr w:rsidR="00B44B33" w:rsidTr="001858CE">
        <w:tc>
          <w:tcPr>
            <w:tcW w:w="8188" w:type="dxa"/>
          </w:tcPr>
          <w:p w:rsidR="00B44B33" w:rsidRPr="001858CE" w:rsidRDefault="00B44B33" w:rsidP="001858CE">
            <w:pPr>
              <w:tabs>
                <w:tab w:val="right" w:pos="9194"/>
              </w:tabs>
              <w:jc w:val="both"/>
              <w:rPr>
                <w:rFonts w:ascii="Arial" w:hAnsi="Arial" w:cs="Arial"/>
                <w:sz w:val="20"/>
                <w:szCs w:val="20"/>
              </w:rPr>
            </w:pPr>
            <w:r w:rsidRPr="001858CE">
              <w:rPr>
                <w:rFonts w:ascii="Arial" w:hAnsi="Arial" w:cs="Arial"/>
                <w:sz w:val="20"/>
                <w:szCs w:val="20"/>
              </w:rPr>
              <w:t>General plant and equipment</w:t>
            </w:r>
          </w:p>
        </w:tc>
        <w:tc>
          <w:tcPr>
            <w:tcW w:w="1358" w:type="dxa"/>
          </w:tcPr>
          <w:p w:rsidR="00B44B33" w:rsidRPr="001858CE" w:rsidRDefault="00B44B33" w:rsidP="001858CE">
            <w:pPr>
              <w:tabs>
                <w:tab w:val="right" w:pos="9194"/>
              </w:tabs>
              <w:jc w:val="both"/>
              <w:rPr>
                <w:rFonts w:ascii="Arial" w:hAnsi="Arial" w:cs="Arial"/>
                <w:sz w:val="20"/>
                <w:szCs w:val="20"/>
              </w:rPr>
            </w:pPr>
            <w:r w:rsidRPr="001858CE">
              <w:rPr>
                <w:rFonts w:ascii="Arial" w:hAnsi="Arial" w:cs="Arial"/>
                <w:sz w:val="20"/>
                <w:szCs w:val="20"/>
              </w:rPr>
              <w:t>10% – 33%</w:t>
            </w:r>
          </w:p>
        </w:tc>
      </w:tr>
    </w:tbl>
    <w:p w:rsidR="00B44B33" w:rsidRPr="00DD509F" w:rsidRDefault="00B44B33" w:rsidP="00177AD8">
      <w:pPr>
        <w:tabs>
          <w:tab w:val="right" w:pos="9194"/>
        </w:tabs>
        <w:jc w:val="both"/>
        <w:rPr>
          <w:rFonts w:ascii="Arial" w:hAnsi="Arial" w:cs="Arial"/>
          <w:sz w:val="20"/>
          <w:szCs w:val="20"/>
        </w:rPr>
      </w:pPr>
      <w:r w:rsidRPr="00DD509F">
        <w:rPr>
          <w:rFonts w:ascii="Arial" w:hAnsi="Arial" w:cs="Arial"/>
          <w:sz w:val="20"/>
          <w:szCs w:val="20"/>
        </w:rPr>
        <w:tab/>
      </w:r>
    </w:p>
    <w:p w:rsidR="00B44B33" w:rsidRDefault="00B44B33" w:rsidP="00177AD8">
      <w:pPr>
        <w:jc w:val="both"/>
        <w:rPr>
          <w:rFonts w:ascii="Arial" w:hAnsi="Arial" w:cs="Arial"/>
          <w:sz w:val="20"/>
          <w:szCs w:val="20"/>
        </w:rPr>
      </w:pPr>
      <w:r w:rsidRPr="00DD509F">
        <w:rPr>
          <w:rFonts w:ascii="Arial" w:hAnsi="Arial" w:cs="Arial"/>
          <w:sz w:val="20"/>
          <w:szCs w:val="20"/>
        </w:rPr>
        <w:t xml:space="preserve">The Group capitalises costs in relation to an asset when economic benefit from the asset is </w:t>
      </w:r>
      <w:r w:rsidRPr="00DD509F">
        <w:rPr>
          <w:rFonts w:ascii="Arial" w:hAnsi="Arial" w:cs="Arial"/>
          <w:spacing w:val="-2"/>
          <w:sz w:val="20"/>
          <w:szCs w:val="20"/>
        </w:rPr>
        <w:t>considered probable. Assets under the course of construction are carried at cost and include professional</w:t>
      </w:r>
      <w:r w:rsidRPr="00DD509F">
        <w:rPr>
          <w:rFonts w:ascii="Arial" w:hAnsi="Arial" w:cs="Arial"/>
          <w:sz w:val="20"/>
          <w:szCs w:val="20"/>
        </w:rPr>
        <w:t xml:space="preserve"> fees. Depreciation commences when the assets are ready for their intended use.</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b/>
          <w:bCs/>
          <w:i/>
          <w:iCs/>
          <w:sz w:val="20"/>
          <w:szCs w:val="20"/>
        </w:rPr>
      </w:pPr>
      <w:r w:rsidRPr="00DD509F">
        <w:rPr>
          <w:rFonts w:ascii="Arial" w:hAnsi="Arial" w:cs="Arial"/>
          <w:b/>
          <w:bCs/>
          <w:i/>
          <w:iCs/>
          <w:sz w:val="20"/>
          <w:szCs w:val="20"/>
        </w:rPr>
        <w:t>Segmental accounting</w:t>
      </w:r>
    </w:p>
    <w:p w:rsidR="00B44B33" w:rsidRPr="00DD509F" w:rsidRDefault="00B44B33" w:rsidP="00177AD8">
      <w:pPr>
        <w:jc w:val="both"/>
        <w:rPr>
          <w:rFonts w:ascii="Arial" w:hAnsi="Arial" w:cs="Arial"/>
          <w:b/>
          <w:bCs/>
          <w:i/>
          <w:iCs/>
          <w:sz w:val="20"/>
          <w:szCs w:val="20"/>
        </w:rPr>
      </w:pPr>
    </w:p>
    <w:p w:rsidR="00B44B33" w:rsidRDefault="00B44B33" w:rsidP="00177AD8">
      <w:pPr>
        <w:jc w:val="both"/>
        <w:rPr>
          <w:rFonts w:ascii="Arial" w:hAnsi="Arial" w:cs="Arial"/>
          <w:sz w:val="20"/>
          <w:szCs w:val="20"/>
        </w:rPr>
      </w:pPr>
      <w:r w:rsidRPr="00DD509F">
        <w:rPr>
          <w:rFonts w:ascii="Arial" w:hAnsi="Arial" w:cs="Arial"/>
          <w:spacing w:val="-2"/>
          <w:sz w:val="20"/>
          <w:szCs w:val="20"/>
        </w:rPr>
        <w:t>IFRS 8 requires operating segments to be identified on the basis of internal reports about components of</w:t>
      </w:r>
      <w:r w:rsidRPr="00DD509F">
        <w:rPr>
          <w:rFonts w:ascii="Arial" w:hAnsi="Arial" w:cs="Arial"/>
          <w:sz w:val="20"/>
          <w:szCs w:val="20"/>
        </w:rPr>
        <w:t xml:space="preserve"> the Group that are regularly reviewed by the </w:t>
      </w:r>
      <w:r>
        <w:rPr>
          <w:rFonts w:ascii="Arial" w:hAnsi="Arial" w:cs="Arial"/>
          <w:sz w:val="20"/>
          <w:szCs w:val="20"/>
        </w:rPr>
        <w:t>Directors</w:t>
      </w:r>
      <w:r w:rsidRPr="00DD509F">
        <w:rPr>
          <w:rFonts w:ascii="Arial" w:hAnsi="Arial" w:cs="Arial"/>
          <w:sz w:val="20"/>
          <w:szCs w:val="20"/>
        </w:rPr>
        <w:t xml:space="preserve"> to allocate resources to the segments and </w:t>
      </w:r>
      <w:r w:rsidRPr="00DD509F">
        <w:rPr>
          <w:rFonts w:ascii="Arial" w:hAnsi="Arial" w:cs="Arial"/>
          <w:spacing w:val="-2"/>
          <w:sz w:val="20"/>
          <w:szCs w:val="20"/>
        </w:rPr>
        <w:t xml:space="preserve">to assess their performance. </w:t>
      </w:r>
    </w:p>
    <w:p w:rsidR="00B44B33" w:rsidRPr="00DD509F" w:rsidRDefault="00B44B33" w:rsidP="00177AD8">
      <w:pPr>
        <w:jc w:val="both"/>
        <w:rPr>
          <w:rFonts w:ascii="Arial" w:hAnsi="Arial" w:cs="Arial"/>
          <w:sz w:val="20"/>
          <w:szCs w:val="20"/>
        </w:rPr>
      </w:pPr>
    </w:p>
    <w:p w:rsidR="00B44B33" w:rsidRPr="00DD509F" w:rsidRDefault="00B44B33" w:rsidP="00177AD8">
      <w:pPr>
        <w:jc w:val="both"/>
        <w:rPr>
          <w:rFonts w:ascii="Arial" w:hAnsi="Arial" w:cs="Arial"/>
          <w:sz w:val="20"/>
          <w:szCs w:val="20"/>
        </w:rPr>
      </w:pPr>
      <w:r w:rsidRPr="00DD509F">
        <w:rPr>
          <w:rFonts w:ascii="Arial" w:hAnsi="Arial" w:cs="Arial"/>
          <w:spacing w:val="-2"/>
          <w:sz w:val="20"/>
          <w:szCs w:val="20"/>
        </w:rPr>
        <w:t>The Directors have concluded that in the period since incorporation to 31 December 2012 the Group</w:t>
      </w:r>
      <w:r w:rsidRPr="00DD509F">
        <w:rPr>
          <w:rFonts w:ascii="Arial" w:hAnsi="Arial" w:cs="Arial"/>
          <w:sz w:val="20"/>
          <w:szCs w:val="20"/>
        </w:rPr>
        <w:t xml:space="preserve"> has only operated in one segment, therefore no operating segment note has been prepared.</w:t>
      </w:r>
    </w:p>
    <w:p w:rsidR="00B44B33" w:rsidRDefault="00B44B33" w:rsidP="00177AD8">
      <w:pPr>
        <w:jc w:val="both"/>
        <w:rPr>
          <w:rFonts w:ascii="Arial" w:hAnsi="Arial" w:cs="Arial"/>
          <w:b/>
          <w:bCs/>
          <w:i/>
          <w:iCs/>
          <w:sz w:val="20"/>
          <w:szCs w:val="20"/>
        </w:rPr>
      </w:pPr>
    </w:p>
    <w:p w:rsidR="00B44B33" w:rsidRPr="000C61D6" w:rsidRDefault="00B44B33" w:rsidP="000C61D6">
      <w:pPr>
        <w:rPr>
          <w:rFonts w:ascii="Arial" w:hAnsi="Arial" w:cs="Arial"/>
          <w:b/>
          <w:bCs/>
          <w:i/>
          <w:sz w:val="20"/>
          <w:szCs w:val="20"/>
        </w:rPr>
      </w:pPr>
      <w:r w:rsidRPr="000C61D6">
        <w:rPr>
          <w:rFonts w:ascii="Arial" w:hAnsi="Arial" w:cs="Arial"/>
          <w:b/>
          <w:bCs/>
          <w:i/>
          <w:sz w:val="20"/>
          <w:szCs w:val="20"/>
        </w:rPr>
        <w:t>Critical accounting judgments and estimates</w:t>
      </w:r>
    </w:p>
    <w:p w:rsidR="00B44B33" w:rsidRPr="00DD509F" w:rsidRDefault="00B44B33" w:rsidP="00177AD8">
      <w:pPr>
        <w:jc w:val="both"/>
        <w:rPr>
          <w:rFonts w:ascii="Arial" w:hAnsi="Arial" w:cs="Arial"/>
          <w:b/>
          <w:bCs/>
          <w:i/>
          <w:iCs/>
          <w:spacing w:val="10"/>
          <w:sz w:val="20"/>
          <w:szCs w:val="20"/>
        </w:rPr>
      </w:pPr>
    </w:p>
    <w:p w:rsidR="00B44B33" w:rsidRDefault="00B44B33" w:rsidP="00177AD8">
      <w:pPr>
        <w:jc w:val="both"/>
        <w:rPr>
          <w:rFonts w:ascii="Arial" w:hAnsi="Arial" w:cs="Arial"/>
          <w:sz w:val="20"/>
          <w:szCs w:val="20"/>
        </w:rPr>
      </w:pPr>
      <w:r w:rsidRPr="00DD509F">
        <w:rPr>
          <w:rFonts w:ascii="Arial" w:hAnsi="Arial" w:cs="Arial"/>
          <w:spacing w:val="-2"/>
          <w:sz w:val="20"/>
          <w:szCs w:val="20"/>
        </w:rPr>
        <w:t>In the application of the Group’s accounting policies, which are described earlier in this note, the</w:t>
      </w:r>
      <w:r w:rsidRPr="00DD509F">
        <w:rPr>
          <w:rFonts w:ascii="Arial" w:hAnsi="Arial" w:cs="Arial"/>
          <w:sz w:val="20"/>
          <w:szCs w:val="20"/>
        </w:rPr>
        <w:t xml:space="preserve"> Directors are required to make judgments, estimates and assumptions about the carrying value of assets </w:t>
      </w:r>
      <w:r w:rsidRPr="00DD509F">
        <w:rPr>
          <w:rFonts w:ascii="Arial" w:hAnsi="Arial" w:cs="Arial"/>
          <w:spacing w:val="-2"/>
          <w:sz w:val="20"/>
          <w:szCs w:val="20"/>
        </w:rPr>
        <w:t>and liabilities that are not readily apparent from other sources. The estimates and associated assumptions</w:t>
      </w:r>
      <w:r w:rsidRPr="00DD509F">
        <w:rPr>
          <w:rFonts w:ascii="Arial" w:hAnsi="Arial" w:cs="Arial"/>
          <w:sz w:val="20"/>
          <w:szCs w:val="20"/>
        </w:rPr>
        <w:t xml:space="preserve"> </w:t>
      </w:r>
      <w:r w:rsidRPr="00DD509F">
        <w:rPr>
          <w:rFonts w:ascii="Arial" w:hAnsi="Arial" w:cs="Arial"/>
          <w:spacing w:val="-2"/>
          <w:sz w:val="20"/>
          <w:szCs w:val="20"/>
        </w:rPr>
        <w:t>are based on historical experience and other factors that are considered to be relevant. Actual results may</w:t>
      </w:r>
      <w:r w:rsidRPr="00DD509F">
        <w:rPr>
          <w:rFonts w:ascii="Arial" w:hAnsi="Arial" w:cs="Arial"/>
          <w:sz w:val="20"/>
          <w:szCs w:val="20"/>
        </w:rPr>
        <w:t xml:space="preserve"> differ from these estimates.</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pacing w:val="-2"/>
          <w:sz w:val="20"/>
          <w:szCs w:val="20"/>
        </w:rPr>
        <w:t>The principal balances in the financial statements where changes in estimates and assumptions may have</w:t>
      </w:r>
      <w:r w:rsidRPr="00DD509F">
        <w:rPr>
          <w:rFonts w:ascii="Arial" w:hAnsi="Arial" w:cs="Arial"/>
          <w:sz w:val="20"/>
          <w:szCs w:val="20"/>
        </w:rPr>
        <w:t xml:space="preserve"> a material impact are:</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i/>
          <w:iCs/>
          <w:sz w:val="20"/>
          <w:szCs w:val="20"/>
        </w:rPr>
      </w:pPr>
      <w:r w:rsidRPr="00DD509F">
        <w:rPr>
          <w:rFonts w:ascii="Arial" w:hAnsi="Arial" w:cs="Arial"/>
          <w:i/>
          <w:iCs/>
          <w:sz w:val="20"/>
          <w:szCs w:val="20"/>
        </w:rPr>
        <w:t>Recoverable amount of non-current assets</w:t>
      </w:r>
    </w:p>
    <w:p w:rsidR="00B44B33" w:rsidRPr="00DD509F" w:rsidRDefault="00B44B33" w:rsidP="00177AD8">
      <w:pPr>
        <w:jc w:val="both"/>
        <w:rPr>
          <w:rFonts w:ascii="Arial" w:hAnsi="Arial" w:cs="Arial"/>
          <w:i/>
          <w:iCs/>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 xml:space="preserve">All non-current assets, including property, plant and equipment and intangible assets are reviewed for </w:t>
      </w:r>
      <w:r w:rsidRPr="00DD509F">
        <w:rPr>
          <w:rFonts w:ascii="Arial" w:hAnsi="Arial" w:cs="Arial"/>
          <w:spacing w:val="-2"/>
          <w:sz w:val="20"/>
          <w:szCs w:val="20"/>
        </w:rPr>
        <w:t>potential impairment using estimates of the future economic benefits attributable to them. Such estimates</w:t>
      </w:r>
      <w:r w:rsidRPr="00DD509F">
        <w:rPr>
          <w:rFonts w:ascii="Arial" w:hAnsi="Arial" w:cs="Arial"/>
          <w:sz w:val="20"/>
          <w:szCs w:val="20"/>
        </w:rPr>
        <w:t xml:space="preserve"> involve assumptions in relation to future ticket income, media and sponsorship revenue and on pitch </w:t>
      </w:r>
      <w:r w:rsidRPr="00DD509F">
        <w:rPr>
          <w:rFonts w:ascii="Arial" w:hAnsi="Arial" w:cs="Arial"/>
          <w:spacing w:val="-2"/>
          <w:sz w:val="20"/>
          <w:szCs w:val="20"/>
        </w:rPr>
        <w:t>performance. Any estimates of future economic benefits made in relation to non-current assets may differ</w:t>
      </w:r>
      <w:r w:rsidRPr="00DD509F">
        <w:rPr>
          <w:rFonts w:ascii="Arial" w:hAnsi="Arial" w:cs="Arial"/>
          <w:sz w:val="20"/>
          <w:szCs w:val="20"/>
        </w:rPr>
        <w:t xml:space="preserve"> from the benefits that ultimately arise, and materially affect, the recoverable value of the asset.</w:t>
      </w:r>
    </w:p>
    <w:p w:rsidR="00B44B33" w:rsidRPr="00DD509F" w:rsidRDefault="00B44B33" w:rsidP="00177AD8">
      <w:pPr>
        <w:jc w:val="both"/>
        <w:rPr>
          <w:rFonts w:ascii="Arial" w:hAnsi="Arial" w:cs="Arial"/>
          <w:sz w:val="20"/>
          <w:szCs w:val="20"/>
        </w:rPr>
      </w:pPr>
    </w:p>
    <w:tbl>
      <w:tblPr>
        <w:tblW w:w="9639" w:type="dxa"/>
        <w:tblLayout w:type="fixed"/>
        <w:tblCellMar>
          <w:left w:w="0" w:type="dxa"/>
          <w:right w:w="0" w:type="dxa"/>
        </w:tblCellMar>
        <w:tblLook w:val="0000" w:firstRow="0" w:lastRow="0" w:firstColumn="0" w:lastColumn="0" w:noHBand="0" w:noVBand="0"/>
      </w:tblPr>
      <w:tblGrid>
        <w:gridCol w:w="8402"/>
        <w:gridCol w:w="1237"/>
      </w:tblGrid>
      <w:tr w:rsidR="00B44B33" w:rsidRPr="00DD509F" w:rsidTr="000C61D6">
        <w:trPr>
          <w:trHeight w:hRule="exact" w:val="1672"/>
        </w:trPr>
        <w:tc>
          <w:tcPr>
            <w:tcW w:w="7920" w:type="dxa"/>
            <w:tcBorders>
              <w:top w:val="nil"/>
              <w:left w:val="nil"/>
              <w:bottom w:val="nil"/>
              <w:right w:val="nil"/>
            </w:tcBorders>
          </w:tcPr>
          <w:p w:rsidR="00B44B33" w:rsidRPr="00DD509F" w:rsidRDefault="00B44B33" w:rsidP="000C61D6">
            <w:pPr>
              <w:rPr>
                <w:rFonts w:ascii="Arial" w:hAnsi="Arial" w:cs="Arial"/>
                <w:b/>
                <w:bCs/>
                <w:spacing w:val="12"/>
                <w:sz w:val="20"/>
                <w:szCs w:val="20"/>
              </w:rPr>
            </w:pPr>
            <w:r w:rsidRPr="00DD509F">
              <w:rPr>
                <w:rFonts w:ascii="Arial" w:hAnsi="Arial" w:cs="Arial"/>
                <w:sz w:val="20"/>
                <w:szCs w:val="20"/>
              </w:rPr>
              <w:br w:type="page"/>
            </w:r>
            <w:r w:rsidRPr="000C61D6">
              <w:rPr>
                <w:rFonts w:ascii="Arial" w:hAnsi="Arial" w:cs="Arial"/>
                <w:b/>
                <w:bCs/>
                <w:sz w:val="20"/>
                <w:szCs w:val="20"/>
              </w:rPr>
              <w:t>3.</w:t>
            </w:r>
            <w:r w:rsidRPr="000C61D6">
              <w:rPr>
                <w:rFonts w:ascii="Arial" w:hAnsi="Arial" w:cs="Arial"/>
                <w:b/>
                <w:bCs/>
                <w:sz w:val="20"/>
                <w:szCs w:val="20"/>
              </w:rPr>
              <w:tab/>
              <w:t>Revenue</w:t>
            </w:r>
          </w:p>
        </w:tc>
        <w:tc>
          <w:tcPr>
            <w:tcW w:w="1166" w:type="dxa"/>
            <w:tcBorders>
              <w:top w:val="nil"/>
              <w:left w:val="nil"/>
              <w:bottom w:val="nil"/>
              <w:right w:val="nil"/>
            </w:tcBorders>
          </w:tcPr>
          <w:p w:rsidR="00B44B33" w:rsidRPr="00DD509F" w:rsidRDefault="00B44B33" w:rsidP="00177AD8">
            <w:pPr>
              <w:jc w:val="right"/>
              <w:rPr>
                <w:rFonts w:ascii="Arial" w:hAnsi="Arial" w:cs="Arial"/>
                <w:i/>
                <w:iCs/>
                <w:spacing w:val="2"/>
                <w:sz w:val="20"/>
                <w:szCs w:val="20"/>
              </w:rPr>
            </w:pPr>
            <w:r w:rsidRPr="00DD509F">
              <w:rPr>
                <w:rFonts w:ascii="Arial" w:hAnsi="Arial" w:cs="Arial"/>
                <w:i/>
                <w:iCs/>
                <w:spacing w:val="2"/>
                <w:sz w:val="20"/>
                <w:szCs w:val="20"/>
              </w:rPr>
              <w:t>7 month period</w:t>
            </w:r>
          </w:p>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to 31 December</w:t>
            </w:r>
          </w:p>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2012</w:t>
            </w:r>
          </w:p>
        </w:tc>
      </w:tr>
      <w:tr w:rsidR="00B44B33" w:rsidRPr="00DD509F" w:rsidTr="000C61D6">
        <w:trPr>
          <w:trHeight w:hRule="exact" w:val="264"/>
        </w:trPr>
        <w:tc>
          <w:tcPr>
            <w:tcW w:w="7920" w:type="dxa"/>
            <w:tcBorders>
              <w:top w:val="nil"/>
              <w:left w:val="nil"/>
              <w:bottom w:val="nil"/>
              <w:right w:val="nil"/>
            </w:tcBorders>
          </w:tcPr>
          <w:p w:rsidR="00B44B33" w:rsidRPr="00DD509F" w:rsidRDefault="00B44B33" w:rsidP="00177AD8">
            <w:pPr>
              <w:rPr>
                <w:rFonts w:ascii="Arial" w:hAnsi="Arial" w:cs="Arial"/>
                <w:sz w:val="20"/>
                <w:szCs w:val="20"/>
              </w:rPr>
            </w:pPr>
          </w:p>
        </w:tc>
        <w:tc>
          <w:tcPr>
            <w:tcW w:w="1166" w:type="dxa"/>
            <w:tcBorders>
              <w:top w:val="nil"/>
              <w:left w:val="nil"/>
              <w:bottom w:val="nil"/>
              <w:right w:val="nil"/>
            </w:tcBorders>
          </w:tcPr>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£’000</w:t>
            </w:r>
          </w:p>
        </w:tc>
      </w:tr>
      <w:tr w:rsidR="00B44B33" w:rsidRPr="00DD509F" w:rsidTr="000C61D6">
        <w:trPr>
          <w:trHeight w:hRule="exact" w:val="288"/>
        </w:trPr>
        <w:tc>
          <w:tcPr>
            <w:tcW w:w="7920"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Gate receipts and hospitality</w:t>
            </w:r>
          </w:p>
        </w:tc>
        <w:tc>
          <w:tcPr>
            <w:tcW w:w="1166" w:type="dxa"/>
            <w:tcBorders>
              <w:top w:val="nil"/>
              <w:left w:val="nil"/>
              <w:bottom w:val="nil"/>
              <w:right w:val="nil"/>
            </w:tcBorders>
          </w:tcPr>
          <w:p w:rsidR="00B44B33" w:rsidRPr="00DD509F" w:rsidRDefault="00B44B33" w:rsidP="00177AD8">
            <w:pPr>
              <w:jc w:val="right"/>
              <w:rPr>
                <w:rFonts w:ascii="Arial" w:hAnsi="Arial" w:cs="Arial"/>
                <w:sz w:val="20"/>
                <w:szCs w:val="20"/>
              </w:rPr>
            </w:pPr>
            <w:r>
              <w:rPr>
                <w:rFonts w:ascii="Arial" w:hAnsi="Arial" w:cs="Arial"/>
                <w:sz w:val="20"/>
                <w:szCs w:val="20"/>
              </w:rPr>
              <w:t>6</w:t>
            </w:r>
            <w:r w:rsidRPr="00DD509F">
              <w:rPr>
                <w:rFonts w:ascii="Arial" w:hAnsi="Arial" w:cs="Arial"/>
                <w:sz w:val="20"/>
                <w:szCs w:val="20"/>
              </w:rPr>
              <w:t>,411</w:t>
            </w:r>
          </w:p>
        </w:tc>
      </w:tr>
      <w:tr w:rsidR="00B44B33" w:rsidRPr="00DD509F" w:rsidTr="000C61D6">
        <w:trPr>
          <w:trHeight w:hRule="exact" w:val="264"/>
        </w:trPr>
        <w:tc>
          <w:tcPr>
            <w:tcW w:w="7920"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Sponsorship and advertising</w:t>
            </w:r>
          </w:p>
        </w:tc>
        <w:tc>
          <w:tcPr>
            <w:tcW w:w="1166"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381</w:t>
            </w:r>
          </w:p>
        </w:tc>
      </w:tr>
      <w:tr w:rsidR="00B44B33" w:rsidRPr="00DD509F" w:rsidTr="000C61D6">
        <w:trPr>
          <w:trHeight w:hRule="exact" w:val="259"/>
        </w:trPr>
        <w:tc>
          <w:tcPr>
            <w:tcW w:w="7920"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Broadcasting rights</w:t>
            </w:r>
          </w:p>
        </w:tc>
        <w:tc>
          <w:tcPr>
            <w:tcW w:w="1166"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391</w:t>
            </w:r>
          </w:p>
        </w:tc>
      </w:tr>
      <w:tr w:rsidR="00B44B33" w:rsidRPr="00DD509F" w:rsidTr="000C61D6">
        <w:trPr>
          <w:trHeight w:hRule="exact" w:val="259"/>
        </w:trPr>
        <w:tc>
          <w:tcPr>
            <w:tcW w:w="7920"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Commercial</w:t>
            </w:r>
          </w:p>
        </w:tc>
        <w:tc>
          <w:tcPr>
            <w:tcW w:w="1166" w:type="dxa"/>
            <w:tcBorders>
              <w:top w:val="nil"/>
              <w:left w:val="nil"/>
              <w:bottom w:val="nil"/>
              <w:right w:val="nil"/>
            </w:tcBorders>
          </w:tcPr>
          <w:p w:rsidR="00B44B33" w:rsidRPr="00DD509F" w:rsidRDefault="00B44B33" w:rsidP="00177AD8">
            <w:pPr>
              <w:jc w:val="right"/>
              <w:rPr>
                <w:rFonts w:ascii="Arial" w:hAnsi="Arial" w:cs="Arial"/>
                <w:sz w:val="20"/>
                <w:szCs w:val="20"/>
              </w:rPr>
            </w:pPr>
            <w:r>
              <w:rPr>
                <w:rFonts w:ascii="Arial" w:hAnsi="Arial" w:cs="Arial"/>
                <w:sz w:val="20"/>
                <w:szCs w:val="20"/>
              </w:rPr>
              <w:t>552</w:t>
            </w:r>
          </w:p>
        </w:tc>
      </w:tr>
      <w:tr w:rsidR="00B44B33" w:rsidRPr="00DD509F" w:rsidTr="000C61D6">
        <w:trPr>
          <w:trHeight w:hRule="exact" w:val="217"/>
        </w:trPr>
        <w:tc>
          <w:tcPr>
            <w:tcW w:w="7920"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Retail</w:t>
            </w:r>
          </w:p>
        </w:tc>
        <w:tc>
          <w:tcPr>
            <w:tcW w:w="1166" w:type="dxa"/>
            <w:tcBorders>
              <w:top w:val="nil"/>
              <w:left w:val="nil"/>
              <w:bottom w:val="nil"/>
              <w:right w:val="nil"/>
            </w:tcBorders>
            <w:vAlign w:val="bottom"/>
          </w:tcPr>
          <w:p w:rsidR="00B44B33" w:rsidRPr="00DD509F" w:rsidRDefault="00B44B33" w:rsidP="00177AD8">
            <w:pPr>
              <w:jc w:val="right"/>
              <w:rPr>
                <w:rFonts w:ascii="Arial" w:hAnsi="Arial" w:cs="Arial"/>
                <w:sz w:val="20"/>
                <w:szCs w:val="20"/>
              </w:rPr>
            </w:pPr>
            <w:r w:rsidRPr="00DD509F">
              <w:rPr>
                <w:rFonts w:ascii="Arial" w:hAnsi="Arial" w:cs="Arial"/>
                <w:sz w:val="20"/>
                <w:szCs w:val="20"/>
              </w:rPr>
              <w:t>941</w:t>
            </w:r>
          </w:p>
        </w:tc>
      </w:tr>
      <w:tr w:rsidR="00B44B33" w:rsidRPr="00DD509F" w:rsidTr="000C61D6">
        <w:trPr>
          <w:trHeight w:hRule="exact" w:val="303"/>
        </w:trPr>
        <w:tc>
          <w:tcPr>
            <w:tcW w:w="7920"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Other operating income</w:t>
            </w:r>
          </w:p>
        </w:tc>
        <w:tc>
          <w:tcPr>
            <w:tcW w:w="1166"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848</w:t>
            </w:r>
          </w:p>
        </w:tc>
      </w:tr>
      <w:tr w:rsidR="00B44B33" w:rsidRPr="00DD509F" w:rsidTr="000C61D6">
        <w:trPr>
          <w:trHeight w:hRule="exact" w:val="398"/>
        </w:trPr>
        <w:tc>
          <w:tcPr>
            <w:tcW w:w="7920" w:type="dxa"/>
            <w:tcBorders>
              <w:top w:val="nil"/>
              <w:left w:val="nil"/>
              <w:bottom w:val="nil"/>
              <w:right w:val="nil"/>
            </w:tcBorders>
          </w:tcPr>
          <w:p w:rsidR="00B44B33" w:rsidRPr="00DD509F" w:rsidRDefault="00B44B33" w:rsidP="00177AD8">
            <w:pPr>
              <w:rPr>
                <w:rFonts w:ascii="Arial" w:hAnsi="Arial" w:cs="Arial"/>
                <w:sz w:val="20"/>
                <w:szCs w:val="20"/>
              </w:rPr>
            </w:pPr>
          </w:p>
        </w:tc>
        <w:tc>
          <w:tcPr>
            <w:tcW w:w="1166"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9,524</w:t>
            </w:r>
          </w:p>
        </w:tc>
      </w:tr>
    </w:tbl>
    <w:p w:rsidR="00B44B33" w:rsidRDefault="00B44B33" w:rsidP="00177AD8">
      <w:pPr>
        <w:rPr>
          <w:rFonts w:ascii="Arial" w:hAnsi="Arial" w:cs="Arial"/>
          <w:spacing w:val="-2"/>
          <w:sz w:val="20"/>
          <w:szCs w:val="20"/>
        </w:rPr>
      </w:pPr>
    </w:p>
    <w:p w:rsidR="00B44B33" w:rsidRDefault="00B44B33" w:rsidP="00177AD8">
      <w:pPr>
        <w:rPr>
          <w:rFonts w:ascii="Arial" w:hAnsi="Arial" w:cs="Arial"/>
          <w:spacing w:val="-2"/>
          <w:sz w:val="20"/>
          <w:szCs w:val="20"/>
        </w:rPr>
      </w:pPr>
      <w:r w:rsidRPr="00DD509F">
        <w:rPr>
          <w:rFonts w:ascii="Arial" w:hAnsi="Arial" w:cs="Arial"/>
          <w:spacing w:val="-2"/>
          <w:sz w:val="20"/>
          <w:szCs w:val="20"/>
        </w:rPr>
        <w:t>In the opinion of the Directors all business is related to one activity and as such no segmental disclosures</w:t>
      </w:r>
      <w:r w:rsidRPr="00DD509F">
        <w:rPr>
          <w:rFonts w:ascii="Arial" w:hAnsi="Arial" w:cs="Arial"/>
          <w:sz w:val="20"/>
          <w:szCs w:val="20"/>
        </w:rPr>
        <w:t xml:space="preserve"> </w:t>
      </w:r>
      <w:r w:rsidRPr="00DD509F">
        <w:rPr>
          <w:rFonts w:ascii="Arial" w:hAnsi="Arial" w:cs="Arial"/>
          <w:spacing w:val="-2"/>
          <w:sz w:val="20"/>
          <w:szCs w:val="20"/>
        </w:rPr>
        <w:t>have been provided. Revenue is derived entirely in the United Kingdom and is shown exclusive of VAT.</w:t>
      </w:r>
    </w:p>
    <w:p w:rsidR="00B44B33" w:rsidRPr="00DD509F" w:rsidRDefault="00B44B33" w:rsidP="00177AD8">
      <w:pPr>
        <w:rPr>
          <w:rFonts w:ascii="Arial" w:hAnsi="Arial" w:cs="Arial"/>
          <w:spacing w:val="-2"/>
          <w:sz w:val="20"/>
          <w:szCs w:val="20"/>
        </w:rPr>
      </w:pPr>
    </w:p>
    <w:tbl>
      <w:tblPr>
        <w:tblW w:w="9639" w:type="dxa"/>
        <w:tblInd w:w="108" w:type="dxa"/>
        <w:tblLayout w:type="fixed"/>
        <w:tblLook w:val="0000" w:firstRow="0" w:lastRow="0" w:firstColumn="0" w:lastColumn="0" w:noHBand="0" w:noVBand="0"/>
      </w:tblPr>
      <w:tblGrid>
        <w:gridCol w:w="8284"/>
        <w:gridCol w:w="1355"/>
      </w:tblGrid>
      <w:tr w:rsidR="00B44B33" w:rsidRPr="00DD509F" w:rsidTr="00177AD8">
        <w:trPr>
          <w:trHeight w:hRule="exact" w:val="1696"/>
        </w:trPr>
        <w:tc>
          <w:tcPr>
            <w:tcW w:w="8284" w:type="dxa"/>
          </w:tcPr>
          <w:p w:rsidR="00B44B33" w:rsidRPr="00DD509F" w:rsidRDefault="00B44B33" w:rsidP="00E058F5">
            <w:pPr>
              <w:rPr>
                <w:rFonts w:ascii="Arial" w:hAnsi="Arial" w:cs="Arial"/>
                <w:b/>
                <w:bCs/>
                <w:spacing w:val="2"/>
                <w:sz w:val="20"/>
                <w:szCs w:val="20"/>
              </w:rPr>
            </w:pPr>
            <w:r w:rsidRPr="00DD509F">
              <w:rPr>
                <w:rFonts w:ascii="Arial" w:hAnsi="Arial" w:cs="Arial"/>
                <w:spacing w:val="-2"/>
                <w:sz w:val="20"/>
                <w:szCs w:val="20"/>
              </w:rPr>
              <w:br w:type="page"/>
            </w:r>
            <w:r w:rsidRPr="00E058F5">
              <w:rPr>
                <w:rFonts w:ascii="Arial" w:hAnsi="Arial" w:cs="Arial"/>
                <w:b/>
                <w:bCs/>
                <w:sz w:val="20"/>
                <w:szCs w:val="20"/>
              </w:rPr>
              <w:t>4.</w:t>
            </w:r>
            <w:r w:rsidRPr="00E058F5">
              <w:rPr>
                <w:rFonts w:ascii="Arial" w:hAnsi="Arial" w:cs="Arial"/>
                <w:b/>
                <w:bCs/>
                <w:sz w:val="20"/>
                <w:szCs w:val="20"/>
              </w:rPr>
              <w:tab/>
              <w:t>Non-Recurring Items</w:t>
            </w:r>
          </w:p>
        </w:tc>
        <w:tc>
          <w:tcPr>
            <w:tcW w:w="1355" w:type="dxa"/>
          </w:tcPr>
          <w:p w:rsidR="00B44B33" w:rsidRPr="00DD509F" w:rsidRDefault="00B44B33" w:rsidP="00177AD8">
            <w:pPr>
              <w:jc w:val="right"/>
              <w:rPr>
                <w:rFonts w:ascii="Arial" w:hAnsi="Arial" w:cs="Arial"/>
                <w:i/>
                <w:iCs/>
                <w:spacing w:val="2"/>
                <w:sz w:val="20"/>
                <w:szCs w:val="20"/>
              </w:rPr>
            </w:pPr>
            <w:r w:rsidRPr="00DD509F">
              <w:rPr>
                <w:rFonts w:ascii="Arial" w:hAnsi="Arial" w:cs="Arial"/>
                <w:i/>
                <w:iCs/>
                <w:spacing w:val="2"/>
                <w:sz w:val="20"/>
                <w:szCs w:val="20"/>
              </w:rPr>
              <w:t>7 month period</w:t>
            </w:r>
          </w:p>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to 31 December</w:t>
            </w:r>
          </w:p>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2012</w:t>
            </w:r>
          </w:p>
        </w:tc>
      </w:tr>
      <w:tr w:rsidR="00B44B33" w:rsidRPr="00DD509F" w:rsidTr="00177AD8">
        <w:tblPrEx>
          <w:tblCellMar>
            <w:left w:w="0" w:type="dxa"/>
            <w:right w:w="0" w:type="dxa"/>
          </w:tblCellMar>
        </w:tblPrEx>
        <w:trPr>
          <w:trHeight w:hRule="exact" w:val="270"/>
        </w:trPr>
        <w:tc>
          <w:tcPr>
            <w:tcW w:w="8284" w:type="dxa"/>
            <w:tcBorders>
              <w:top w:val="nil"/>
              <w:left w:val="nil"/>
              <w:bottom w:val="nil"/>
              <w:right w:val="nil"/>
            </w:tcBorders>
          </w:tcPr>
          <w:p w:rsidR="00B44B33" w:rsidRPr="00DD509F" w:rsidRDefault="00B44B33" w:rsidP="00177AD8">
            <w:pPr>
              <w:rPr>
                <w:rFonts w:ascii="Arial" w:hAnsi="Arial" w:cs="Arial"/>
                <w:sz w:val="20"/>
                <w:szCs w:val="20"/>
              </w:rPr>
            </w:pPr>
          </w:p>
        </w:tc>
        <w:tc>
          <w:tcPr>
            <w:tcW w:w="1355" w:type="dxa"/>
            <w:tcBorders>
              <w:top w:val="nil"/>
              <w:left w:val="nil"/>
              <w:bottom w:val="nil"/>
              <w:right w:val="nil"/>
            </w:tcBorders>
          </w:tcPr>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£’000</w:t>
            </w:r>
          </w:p>
        </w:tc>
      </w:tr>
      <w:tr w:rsidR="00B44B33" w:rsidRPr="00DD509F" w:rsidTr="00A42A2C">
        <w:tblPrEx>
          <w:tblCellMar>
            <w:left w:w="0" w:type="dxa"/>
            <w:right w:w="0" w:type="dxa"/>
          </w:tblCellMar>
        </w:tblPrEx>
        <w:trPr>
          <w:trHeight w:hRule="exact" w:val="260"/>
        </w:trPr>
        <w:tc>
          <w:tcPr>
            <w:tcW w:w="8284" w:type="dxa"/>
            <w:tcBorders>
              <w:top w:val="nil"/>
              <w:left w:val="nil"/>
              <w:bottom w:val="nil"/>
              <w:right w:val="nil"/>
            </w:tcBorders>
          </w:tcPr>
          <w:p w:rsidR="00B44B33" w:rsidRPr="00DD509F" w:rsidRDefault="00B44B33" w:rsidP="00A42A2C">
            <w:pPr>
              <w:rPr>
                <w:rFonts w:ascii="Arial" w:hAnsi="Arial" w:cs="Arial"/>
                <w:sz w:val="20"/>
                <w:szCs w:val="20"/>
              </w:rPr>
            </w:pPr>
            <w:r w:rsidRPr="00DD509F">
              <w:rPr>
                <w:rFonts w:ascii="Arial" w:hAnsi="Arial" w:cs="Arial"/>
                <w:sz w:val="20"/>
                <w:szCs w:val="20"/>
              </w:rPr>
              <w:t>Release of negative goodwill (Note 7)</w:t>
            </w:r>
          </w:p>
        </w:tc>
        <w:tc>
          <w:tcPr>
            <w:tcW w:w="1355" w:type="dxa"/>
            <w:tcBorders>
              <w:top w:val="nil"/>
              <w:left w:val="nil"/>
              <w:bottom w:val="nil"/>
              <w:right w:val="nil"/>
            </w:tcBorders>
          </w:tcPr>
          <w:p w:rsidR="00B44B33" w:rsidRPr="00DD509F" w:rsidRDefault="00B44B33" w:rsidP="00A42A2C">
            <w:pPr>
              <w:jc w:val="right"/>
              <w:rPr>
                <w:rFonts w:ascii="Arial" w:hAnsi="Arial" w:cs="Arial"/>
                <w:sz w:val="20"/>
                <w:szCs w:val="20"/>
              </w:rPr>
            </w:pPr>
            <w:r w:rsidRPr="00DD509F">
              <w:rPr>
                <w:rFonts w:ascii="Arial" w:hAnsi="Arial" w:cs="Arial"/>
                <w:sz w:val="20"/>
                <w:szCs w:val="20"/>
              </w:rPr>
              <w:t>(20,465)</w:t>
            </w:r>
          </w:p>
          <w:p w:rsidR="00B44B33" w:rsidRPr="00DD509F" w:rsidRDefault="00B44B33" w:rsidP="00A42A2C">
            <w:pPr>
              <w:jc w:val="right"/>
              <w:rPr>
                <w:rFonts w:ascii="Arial" w:hAnsi="Arial" w:cs="Arial"/>
                <w:sz w:val="20"/>
                <w:szCs w:val="20"/>
              </w:rPr>
            </w:pPr>
            <w:r w:rsidRPr="00DD509F">
              <w:rPr>
                <w:rFonts w:ascii="Arial" w:hAnsi="Arial" w:cs="Arial"/>
                <w:sz w:val="20"/>
                <w:szCs w:val="20"/>
              </w:rPr>
              <w:t>418</w:t>
            </w:r>
          </w:p>
        </w:tc>
      </w:tr>
      <w:tr w:rsidR="00B44B33" w:rsidRPr="00DD509F" w:rsidTr="00177AD8">
        <w:tblPrEx>
          <w:tblCellMar>
            <w:left w:w="0" w:type="dxa"/>
            <w:right w:w="0" w:type="dxa"/>
          </w:tblCellMar>
        </w:tblPrEx>
        <w:trPr>
          <w:trHeight w:hRule="exact" w:val="289"/>
        </w:trPr>
        <w:tc>
          <w:tcPr>
            <w:tcW w:w="8284" w:type="dxa"/>
            <w:tcBorders>
              <w:top w:val="nil"/>
              <w:left w:val="nil"/>
              <w:bottom w:val="nil"/>
              <w:right w:val="nil"/>
            </w:tcBorders>
          </w:tcPr>
          <w:p w:rsidR="00B44B33" w:rsidRPr="00DD509F" w:rsidRDefault="00B44B33" w:rsidP="00177AD8">
            <w:pPr>
              <w:rPr>
                <w:rFonts w:ascii="Arial" w:hAnsi="Arial" w:cs="Arial"/>
                <w:sz w:val="20"/>
                <w:szCs w:val="20"/>
              </w:rPr>
            </w:pPr>
            <w:r>
              <w:rPr>
                <w:rFonts w:ascii="Arial" w:hAnsi="Arial" w:cs="Arial"/>
                <w:sz w:val="20"/>
                <w:szCs w:val="20"/>
              </w:rPr>
              <w:t>Undertaking</w:t>
            </w:r>
            <w:r w:rsidRPr="00DD509F">
              <w:rPr>
                <w:rFonts w:ascii="Arial" w:hAnsi="Arial" w:cs="Arial"/>
                <w:sz w:val="20"/>
                <w:szCs w:val="20"/>
              </w:rPr>
              <w:t xml:space="preserve"> of RFC 2012 plc football debt</w:t>
            </w:r>
          </w:p>
        </w:tc>
        <w:tc>
          <w:tcPr>
            <w:tcW w:w="1355" w:type="dxa"/>
            <w:tcBorders>
              <w:top w:val="nil"/>
              <w:left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2,832</w:t>
            </w:r>
          </w:p>
        </w:tc>
      </w:tr>
      <w:tr w:rsidR="00B44B33" w:rsidRPr="00DD509F" w:rsidTr="00177AD8">
        <w:tblPrEx>
          <w:tblCellMar>
            <w:left w:w="0" w:type="dxa"/>
            <w:right w:w="0" w:type="dxa"/>
          </w:tblCellMar>
        </w:tblPrEx>
        <w:trPr>
          <w:trHeight w:hRule="exact" w:val="303"/>
        </w:trPr>
        <w:tc>
          <w:tcPr>
            <w:tcW w:w="8284"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 xml:space="preserve">Costs in relation to </w:t>
            </w:r>
            <w:r>
              <w:rPr>
                <w:rFonts w:ascii="Arial" w:hAnsi="Arial" w:cs="Arial"/>
                <w:sz w:val="20"/>
                <w:szCs w:val="20"/>
              </w:rPr>
              <w:t>corporate structuring</w:t>
            </w:r>
          </w:p>
        </w:tc>
        <w:tc>
          <w:tcPr>
            <w:tcW w:w="1355" w:type="dxa"/>
            <w:tcBorders>
              <w:top w:val="nil"/>
              <w:left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284</w:t>
            </w:r>
          </w:p>
        </w:tc>
      </w:tr>
      <w:tr w:rsidR="00B44B33" w:rsidRPr="00DD509F" w:rsidTr="00177AD8">
        <w:tblPrEx>
          <w:tblCellMar>
            <w:left w:w="0" w:type="dxa"/>
            <w:right w:w="0" w:type="dxa"/>
          </w:tblCellMar>
        </w:tblPrEx>
        <w:trPr>
          <w:trHeight w:hRule="exact" w:val="303"/>
        </w:trPr>
        <w:tc>
          <w:tcPr>
            <w:tcW w:w="8284"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Acquisition expenses</w:t>
            </w:r>
          </w:p>
        </w:tc>
        <w:tc>
          <w:tcPr>
            <w:tcW w:w="1355" w:type="dxa"/>
            <w:tcBorders>
              <w:top w:val="nil"/>
              <w:left w:val="nil"/>
              <w:bottom w:val="single" w:sz="4"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609</w:t>
            </w:r>
          </w:p>
        </w:tc>
      </w:tr>
      <w:tr w:rsidR="00B44B33" w:rsidRPr="00DD509F" w:rsidTr="00177AD8">
        <w:tblPrEx>
          <w:tblCellMar>
            <w:left w:w="0" w:type="dxa"/>
            <w:right w:w="0" w:type="dxa"/>
          </w:tblCellMar>
        </w:tblPrEx>
        <w:trPr>
          <w:trHeight w:hRule="exact" w:val="401"/>
        </w:trPr>
        <w:tc>
          <w:tcPr>
            <w:tcW w:w="8284" w:type="dxa"/>
            <w:tcBorders>
              <w:top w:val="nil"/>
              <w:left w:val="nil"/>
              <w:bottom w:val="nil"/>
              <w:right w:val="nil"/>
            </w:tcBorders>
          </w:tcPr>
          <w:p w:rsidR="00B44B33" w:rsidRPr="00DD509F" w:rsidRDefault="00B44B33" w:rsidP="00177AD8">
            <w:pPr>
              <w:rPr>
                <w:rFonts w:ascii="Arial" w:hAnsi="Arial" w:cs="Arial"/>
                <w:sz w:val="20"/>
                <w:szCs w:val="20"/>
              </w:rPr>
            </w:pPr>
          </w:p>
        </w:tc>
        <w:tc>
          <w:tcPr>
            <w:tcW w:w="1355" w:type="dxa"/>
            <w:tcBorders>
              <w:top w:val="single" w:sz="4"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(16,740)</w:t>
            </w:r>
          </w:p>
        </w:tc>
      </w:tr>
    </w:tbl>
    <w:p w:rsidR="00B44B33" w:rsidRDefault="00B44B33" w:rsidP="00177AD8">
      <w:pPr>
        <w:rPr>
          <w:rFonts w:ascii="Arial" w:hAnsi="Arial" w:cs="Arial"/>
          <w:spacing w:val="-2"/>
          <w:sz w:val="20"/>
          <w:szCs w:val="20"/>
        </w:rPr>
      </w:pPr>
    </w:p>
    <w:p w:rsidR="00B44B33" w:rsidRDefault="00B44B33" w:rsidP="00177AD8">
      <w:pPr>
        <w:rPr>
          <w:rFonts w:ascii="Arial" w:hAnsi="Arial" w:cs="Arial"/>
          <w:sz w:val="20"/>
          <w:szCs w:val="20"/>
        </w:rPr>
      </w:pPr>
      <w:r w:rsidRPr="00DD509F">
        <w:rPr>
          <w:rFonts w:ascii="Arial" w:hAnsi="Arial" w:cs="Arial"/>
          <w:spacing w:val="-2"/>
          <w:sz w:val="20"/>
          <w:szCs w:val="20"/>
        </w:rPr>
        <w:t xml:space="preserve">The </w:t>
      </w:r>
      <w:r>
        <w:rPr>
          <w:rFonts w:ascii="Arial" w:hAnsi="Arial" w:cs="Arial"/>
          <w:spacing w:val="-2"/>
          <w:sz w:val="20"/>
          <w:szCs w:val="20"/>
        </w:rPr>
        <w:t>undertaking</w:t>
      </w:r>
      <w:r w:rsidRPr="00DD509F">
        <w:rPr>
          <w:rFonts w:ascii="Arial" w:hAnsi="Arial" w:cs="Arial"/>
          <w:spacing w:val="-2"/>
          <w:sz w:val="20"/>
          <w:szCs w:val="20"/>
        </w:rPr>
        <w:t xml:space="preserve"> of RFC 2012 plc football debts relates to football club creditors of RFC 2012 plc that have</w:t>
      </w:r>
      <w:r w:rsidRPr="00DD509F">
        <w:rPr>
          <w:rFonts w:ascii="Arial" w:hAnsi="Arial" w:cs="Arial"/>
          <w:sz w:val="20"/>
          <w:szCs w:val="20"/>
        </w:rPr>
        <w:t xml:space="preserve"> been taken on by the Group.</w:t>
      </w:r>
    </w:p>
    <w:p w:rsidR="00B44B33" w:rsidRPr="00DD509F" w:rsidRDefault="00B44B33" w:rsidP="00177AD8">
      <w:pPr>
        <w:rPr>
          <w:rFonts w:ascii="Arial" w:hAnsi="Arial" w:cs="Arial"/>
          <w:sz w:val="20"/>
          <w:szCs w:val="20"/>
        </w:rPr>
      </w:pPr>
    </w:p>
    <w:p w:rsidR="00B44B33" w:rsidRDefault="00B44B33" w:rsidP="00177AD8">
      <w:pPr>
        <w:rPr>
          <w:rFonts w:ascii="Arial" w:hAnsi="Arial" w:cs="Arial"/>
          <w:sz w:val="20"/>
          <w:szCs w:val="20"/>
        </w:rPr>
      </w:pPr>
      <w:r w:rsidRPr="00DD509F">
        <w:rPr>
          <w:rFonts w:ascii="Arial" w:hAnsi="Arial" w:cs="Arial"/>
          <w:spacing w:val="-2"/>
          <w:sz w:val="20"/>
          <w:szCs w:val="20"/>
        </w:rPr>
        <w:t>The release of negative goodwill relates to negative goodwill arising from the purchase of the trade and</w:t>
      </w:r>
      <w:r w:rsidRPr="00DD509F">
        <w:rPr>
          <w:rFonts w:ascii="Arial" w:hAnsi="Arial" w:cs="Arial"/>
          <w:sz w:val="20"/>
          <w:szCs w:val="20"/>
        </w:rPr>
        <w:t xml:space="preserve"> assets as set out in note 7.</w:t>
      </w:r>
    </w:p>
    <w:p w:rsidR="00B44B33" w:rsidRPr="00DD509F" w:rsidRDefault="00B44B33" w:rsidP="00177AD8">
      <w:pPr>
        <w:rPr>
          <w:rFonts w:ascii="Arial" w:hAnsi="Arial" w:cs="Arial"/>
          <w:sz w:val="20"/>
          <w:szCs w:val="20"/>
        </w:rPr>
      </w:pPr>
    </w:p>
    <w:p w:rsidR="00B44B33" w:rsidRDefault="00B44B33" w:rsidP="00177AD8">
      <w:pPr>
        <w:rPr>
          <w:rFonts w:ascii="Arial" w:hAnsi="Arial" w:cs="Arial"/>
          <w:sz w:val="20"/>
          <w:szCs w:val="20"/>
        </w:rPr>
      </w:pPr>
      <w:r w:rsidRPr="00DD509F">
        <w:rPr>
          <w:rFonts w:ascii="Arial" w:hAnsi="Arial" w:cs="Arial"/>
          <w:sz w:val="20"/>
          <w:szCs w:val="20"/>
        </w:rPr>
        <w:t>Acquisition expenses relate to one off costs paid on acquisition of the trade and assets on 14 June 2012 from RFC 2012 plc.</w:t>
      </w:r>
    </w:p>
    <w:p w:rsidR="00B44B33" w:rsidRDefault="00B44B33" w:rsidP="00177AD8">
      <w:pPr>
        <w:rPr>
          <w:rFonts w:ascii="Arial" w:hAnsi="Arial" w:cs="Arial"/>
          <w:sz w:val="20"/>
          <w:szCs w:val="20"/>
        </w:rPr>
      </w:pPr>
    </w:p>
    <w:p w:rsidR="00B44B33" w:rsidRDefault="00B44B33" w:rsidP="00177AD8">
      <w:pPr>
        <w:rPr>
          <w:rFonts w:ascii="Arial" w:hAnsi="Arial" w:cs="Arial"/>
          <w:b/>
          <w:bCs/>
          <w:sz w:val="20"/>
          <w:szCs w:val="20"/>
        </w:rPr>
      </w:pPr>
      <w:r w:rsidRPr="00DD509F">
        <w:rPr>
          <w:rFonts w:ascii="Arial" w:hAnsi="Arial" w:cs="Arial"/>
          <w:b/>
          <w:bCs/>
          <w:sz w:val="20"/>
          <w:szCs w:val="20"/>
        </w:rPr>
        <w:t>5. Earning</w:t>
      </w:r>
      <w:r>
        <w:rPr>
          <w:rFonts w:ascii="Arial" w:hAnsi="Arial" w:cs="Arial"/>
          <w:b/>
          <w:bCs/>
          <w:sz w:val="20"/>
          <w:szCs w:val="20"/>
        </w:rPr>
        <w:t>s</w:t>
      </w:r>
      <w:r w:rsidRPr="00DD509F">
        <w:rPr>
          <w:rFonts w:ascii="Arial" w:hAnsi="Arial" w:cs="Arial"/>
          <w:b/>
          <w:bCs/>
          <w:sz w:val="20"/>
          <w:szCs w:val="20"/>
        </w:rPr>
        <w:t xml:space="preserve"> per Ordinary Share</w:t>
      </w:r>
    </w:p>
    <w:p w:rsidR="00B44B33" w:rsidRDefault="00B44B33" w:rsidP="00177AD8">
      <w:pPr>
        <w:rPr>
          <w:rFonts w:ascii="Arial" w:hAnsi="Arial" w:cs="Arial"/>
          <w:b/>
          <w:bCs/>
          <w:sz w:val="20"/>
          <w:szCs w:val="20"/>
        </w:rPr>
      </w:pPr>
    </w:p>
    <w:p w:rsidR="00B44B33" w:rsidRPr="00DD509F" w:rsidRDefault="00B44B33" w:rsidP="00177AD8">
      <w:pPr>
        <w:rPr>
          <w:rFonts w:ascii="Arial" w:hAnsi="Arial" w:cs="Arial"/>
          <w:sz w:val="20"/>
          <w:szCs w:val="20"/>
        </w:rPr>
      </w:pPr>
      <w:r w:rsidRPr="00DD509F">
        <w:rPr>
          <w:rFonts w:ascii="Arial" w:hAnsi="Arial" w:cs="Arial"/>
          <w:sz w:val="20"/>
          <w:szCs w:val="20"/>
        </w:rPr>
        <w:t>Earnings per ordinary share has been calculated as follows</w:t>
      </w:r>
      <w:r>
        <w:rPr>
          <w:rFonts w:ascii="Arial" w:hAnsi="Arial" w:cs="Arial"/>
          <w:sz w:val="20"/>
          <w:szCs w:val="20"/>
        </w:rPr>
        <w:t>. No share options or convertible shares are held within the Group, therefore no diluted Earnings per Share calculation is required.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1"/>
        <w:gridCol w:w="1488"/>
      </w:tblGrid>
      <w:tr w:rsidR="00B44B33" w:rsidRPr="00DD509F" w:rsidTr="00177AD8">
        <w:tc>
          <w:tcPr>
            <w:tcW w:w="8151" w:type="dxa"/>
            <w:tcBorders>
              <w:top w:val="nil"/>
              <w:left w:val="nil"/>
              <w:bottom w:val="nil"/>
              <w:right w:val="nil"/>
            </w:tcBorders>
          </w:tcPr>
          <w:p w:rsidR="00B44B33" w:rsidRPr="00DD509F" w:rsidRDefault="00B44B33" w:rsidP="00177AD8">
            <w:pPr>
              <w:rPr>
                <w:rFonts w:ascii="Arial" w:hAnsi="Arial" w:cs="Arial"/>
                <w:b/>
                <w:bCs/>
                <w:sz w:val="20"/>
                <w:szCs w:val="20"/>
              </w:rPr>
            </w:pPr>
          </w:p>
        </w:tc>
        <w:tc>
          <w:tcPr>
            <w:tcW w:w="1488" w:type="dxa"/>
            <w:tcBorders>
              <w:top w:val="nil"/>
              <w:left w:val="nil"/>
              <w:bottom w:val="nil"/>
              <w:right w:val="nil"/>
            </w:tcBorders>
          </w:tcPr>
          <w:p w:rsidR="00B44B33" w:rsidRPr="00DD509F" w:rsidRDefault="00B44B33" w:rsidP="00177AD8">
            <w:pPr>
              <w:jc w:val="right"/>
              <w:rPr>
                <w:rFonts w:ascii="Arial" w:hAnsi="Arial" w:cs="Arial"/>
                <w:i/>
                <w:iCs/>
                <w:spacing w:val="-6"/>
                <w:sz w:val="20"/>
                <w:szCs w:val="20"/>
              </w:rPr>
            </w:pPr>
            <w:r w:rsidRPr="00DD509F">
              <w:rPr>
                <w:rFonts w:ascii="Arial" w:hAnsi="Arial" w:cs="Arial"/>
                <w:sz w:val="20"/>
                <w:szCs w:val="20"/>
              </w:rPr>
              <w:t>7 month</w:t>
            </w:r>
            <w:r w:rsidRPr="00DD509F">
              <w:rPr>
                <w:rFonts w:ascii="Arial" w:hAnsi="Arial" w:cs="Arial"/>
                <w:i/>
                <w:iCs/>
                <w:spacing w:val="-8"/>
                <w:sz w:val="20"/>
                <w:szCs w:val="20"/>
              </w:rPr>
              <w:t xml:space="preserve"> period</w:t>
            </w:r>
            <w:r w:rsidRPr="00DD509F">
              <w:rPr>
                <w:rFonts w:ascii="Arial" w:hAnsi="Arial" w:cs="Arial"/>
                <w:i/>
                <w:iCs/>
                <w:spacing w:val="-8"/>
                <w:sz w:val="20"/>
                <w:szCs w:val="20"/>
              </w:rPr>
              <w:br/>
            </w:r>
            <w:r w:rsidRPr="00DD509F">
              <w:rPr>
                <w:rFonts w:ascii="Arial" w:hAnsi="Arial" w:cs="Arial"/>
                <w:i/>
                <w:iCs/>
                <w:spacing w:val="-6"/>
                <w:sz w:val="20"/>
                <w:szCs w:val="20"/>
              </w:rPr>
              <w:t>to 31 December</w:t>
            </w:r>
            <w:r w:rsidRPr="00DD509F">
              <w:rPr>
                <w:rFonts w:ascii="Arial" w:hAnsi="Arial" w:cs="Arial"/>
                <w:i/>
                <w:iCs/>
                <w:spacing w:val="-6"/>
                <w:sz w:val="20"/>
                <w:szCs w:val="20"/>
              </w:rPr>
              <w:br/>
              <w:t>2012</w:t>
            </w:r>
          </w:p>
          <w:p w:rsidR="00B44B33" w:rsidRPr="00D465DD" w:rsidRDefault="00B44B33" w:rsidP="00177AD8">
            <w:pPr>
              <w:jc w:val="right"/>
              <w:rPr>
                <w:rFonts w:ascii="Arial" w:hAnsi="Arial" w:cs="Arial"/>
                <w:b/>
                <w:bCs/>
                <w:sz w:val="20"/>
                <w:szCs w:val="20"/>
              </w:rPr>
            </w:pPr>
          </w:p>
        </w:tc>
      </w:tr>
      <w:tr w:rsidR="00B44B33" w:rsidRPr="00DD509F" w:rsidTr="00177AD8">
        <w:trPr>
          <w:trHeight w:val="391"/>
        </w:trPr>
        <w:tc>
          <w:tcPr>
            <w:tcW w:w="8151" w:type="dxa"/>
            <w:tcBorders>
              <w:top w:val="nil"/>
              <w:left w:val="nil"/>
              <w:bottom w:val="nil"/>
              <w:right w:val="nil"/>
            </w:tcBorders>
          </w:tcPr>
          <w:p w:rsidR="00B44B33" w:rsidRPr="00DD509F" w:rsidRDefault="00B44B33" w:rsidP="00177AD8">
            <w:pPr>
              <w:rPr>
                <w:rFonts w:ascii="Arial" w:hAnsi="Arial" w:cs="Arial"/>
                <w:b/>
                <w:bCs/>
                <w:sz w:val="20"/>
                <w:szCs w:val="20"/>
              </w:rPr>
            </w:pPr>
            <w:r w:rsidRPr="00DD509F">
              <w:rPr>
                <w:rFonts w:ascii="Arial" w:hAnsi="Arial" w:cs="Arial"/>
                <w:bCs/>
                <w:sz w:val="20"/>
                <w:szCs w:val="20"/>
              </w:rPr>
              <w:t>Earnings for the purpose of basic earnings per share, being profit for the 7 months (£’000</w:t>
            </w:r>
            <w:r w:rsidRPr="00DD509F">
              <w:rPr>
                <w:rFonts w:ascii="Arial" w:hAnsi="Arial" w:cs="Arial"/>
                <w:b/>
                <w:bCs/>
                <w:sz w:val="20"/>
                <w:szCs w:val="20"/>
              </w:rPr>
              <w:t>)</w:t>
            </w:r>
          </w:p>
        </w:tc>
        <w:tc>
          <w:tcPr>
            <w:tcW w:w="1488" w:type="dxa"/>
            <w:tcBorders>
              <w:top w:val="nil"/>
              <w:left w:val="nil"/>
              <w:bottom w:val="nil"/>
              <w:right w:val="nil"/>
            </w:tcBorders>
          </w:tcPr>
          <w:p w:rsidR="00B44B33" w:rsidRPr="00DD509F" w:rsidRDefault="00B44B33" w:rsidP="00177AD8">
            <w:pPr>
              <w:jc w:val="right"/>
              <w:rPr>
                <w:rFonts w:ascii="Arial" w:hAnsi="Arial" w:cs="Arial"/>
                <w:bCs/>
                <w:sz w:val="20"/>
                <w:szCs w:val="20"/>
              </w:rPr>
            </w:pPr>
            <w:r w:rsidRPr="00DD509F">
              <w:rPr>
                <w:rFonts w:ascii="Arial" w:hAnsi="Arial" w:cs="Arial"/>
                <w:bCs/>
                <w:sz w:val="20"/>
                <w:szCs w:val="20"/>
              </w:rPr>
              <w:t>9,314</w:t>
            </w:r>
          </w:p>
        </w:tc>
      </w:tr>
      <w:tr w:rsidR="00B44B33" w:rsidRPr="00DD509F" w:rsidTr="00177AD8">
        <w:trPr>
          <w:trHeight w:val="329"/>
        </w:trPr>
        <w:tc>
          <w:tcPr>
            <w:tcW w:w="8151" w:type="dxa"/>
            <w:tcBorders>
              <w:top w:val="nil"/>
              <w:left w:val="nil"/>
              <w:bottom w:val="nil"/>
              <w:right w:val="nil"/>
            </w:tcBorders>
          </w:tcPr>
          <w:p w:rsidR="00B44B33" w:rsidRPr="00DD509F" w:rsidRDefault="00B44B33" w:rsidP="00177AD8">
            <w:pPr>
              <w:rPr>
                <w:rFonts w:ascii="Arial" w:hAnsi="Arial" w:cs="Arial"/>
                <w:bCs/>
                <w:sz w:val="20"/>
                <w:szCs w:val="20"/>
              </w:rPr>
            </w:pPr>
            <w:r w:rsidRPr="00DD509F">
              <w:rPr>
                <w:rFonts w:ascii="Arial" w:hAnsi="Arial" w:cs="Arial"/>
                <w:bCs/>
                <w:sz w:val="20"/>
                <w:szCs w:val="20"/>
              </w:rPr>
              <w:t>Weighted average number of shares for the purpose of basic earnings per share</w:t>
            </w:r>
          </w:p>
        </w:tc>
        <w:tc>
          <w:tcPr>
            <w:tcW w:w="1488" w:type="dxa"/>
            <w:tcBorders>
              <w:top w:val="nil"/>
              <w:left w:val="nil"/>
              <w:bottom w:val="nil"/>
              <w:right w:val="nil"/>
            </w:tcBorders>
          </w:tcPr>
          <w:p w:rsidR="00B44B33" w:rsidRPr="00DD509F" w:rsidRDefault="00B44B33" w:rsidP="00177AD8">
            <w:pPr>
              <w:jc w:val="right"/>
              <w:rPr>
                <w:rFonts w:ascii="Arial" w:hAnsi="Arial" w:cs="Arial"/>
                <w:bCs/>
                <w:sz w:val="20"/>
                <w:szCs w:val="20"/>
              </w:rPr>
            </w:pPr>
            <w:r>
              <w:rPr>
                <w:rFonts w:ascii="Arial" w:hAnsi="Arial" w:cs="Arial"/>
                <w:bCs/>
                <w:sz w:val="20"/>
                <w:szCs w:val="20"/>
              </w:rPr>
              <w:t>29,307,654</w:t>
            </w:r>
          </w:p>
        </w:tc>
      </w:tr>
      <w:tr w:rsidR="00B44B33" w:rsidRPr="00DD509F" w:rsidTr="00177AD8">
        <w:trPr>
          <w:trHeight w:val="423"/>
        </w:trPr>
        <w:tc>
          <w:tcPr>
            <w:tcW w:w="8151" w:type="dxa"/>
            <w:tcBorders>
              <w:top w:val="nil"/>
              <w:left w:val="nil"/>
              <w:bottom w:val="nil"/>
              <w:right w:val="nil"/>
            </w:tcBorders>
          </w:tcPr>
          <w:p w:rsidR="00B44B33" w:rsidRPr="00DD509F" w:rsidRDefault="00B44B33" w:rsidP="00177AD8">
            <w:pPr>
              <w:rPr>
                <w:rFonts w:ascii="Arial" w:hAnsi="Arial" w:cs="Arial"/>
                <w:bCs/>
                <w:sz w:val="20"/>
                <w:szCs w:val="20"/>
              </w:rPr>
            </w:pPr>
            <w:r w:rsidRPr="00DD509F">
              <w:rPr>
                <w:rFonts w:ascii="Arial" w:hAnsi="Arial" w:cs="Arial"/>
                <w:bCs/>
                <w:sz w:val="20"/>
                <w:szCs w:val="20"/>
              </w:rPr>
              <w:t>Earnings per ordinary share</w:t>
            </w:r>
          </w:p>
        </w:tc>
        <w:tc>
          <w:tcPr>
            <w:tcW w:w="1488" w:type="dxa"/>
            <w:tcBorders>
              <w:top w:val="nil"/>
              <w:left w:val="nil"/>
              <w:bottom w:val="nil"/>
              <w:right w:val="nil"/>
            </w:tcBorders>
          </w:tcPr>
          <w:p w:rsidR="00B44B33" w:rsidRPr="00DD509F" w:rsidRDefault="00B44B33" w:rsidP="00177AD8">
            <w:pPr>
              <w:jc w:val="right"/>
              <w:rPr>
                <w:rFonts w:ascii="Arial" w:hAnsi="Arial" w:cs="Arial"/>
                <w:bCs/>
                <w:sz w:val="20"/>
                <w:szCs w:val="20"/>
              </w:rPr>
            </w:pPr>
            <w:r w:rsidRPr="00DD509F">
              <w:rPr>
                <w:rFonts w:ascii="Arial" w:hAnsi="Arial" w:cs="Arial"/>
                <w:bCs/>
                <w:sz w:val="20"/>
                <w:szCs w:val="20"/>
              </w:rPr>
              <w:t>3</w:t>
            </w:r>
            <w:r>
              <w:rPr>
                <w:rFonts w:ascii="Arial" w:hAnsi="Arial" w:cs="Arial"/>
                <w:bCs/>
                <w:sz w:val="20"/>
                <w:szCs w:val="20"/>
              </w:rPr>
              <w:t>1.8</w:t>
            </w:r>
            <w:r w:rsidRPr="00DD509F">
              <w:rPr>
                <w:rFonts w:ascii="Arial" w:hAnsi="Arial" w:cs="Arial"/>
                <w:bCs/>
                <w:sz w:val="20"/>
                <w:szCs w:val="20"/>
              </w:rPr>
              <w:t>p</w:t>
            </w:r>
          </w:p>
        </w:tc>
      </w:tr>
    </w:tbl>
    <w:p w:rsidR="00B44B33" w:rsidRPr="00DD509F" w:rsidRDefault="00B44B33" w:rsidP="00177AD8">
      <w:pPr>
        <w:rPr>
          <w:rFonts w:ascii="Arial" w:hAnsi="Arial" w:cs="Arial"/>
          <w:b/>
          <w:bCs/>
          <w:sz w:val="20"/>
          <w:szCs w:val="20"/>
        </w:rPr>
      </w:pPr>
    </w:p>
    <w:p w:rsidR="00B44B33" w:rsidRDefault="00B44B33" w:rsidP="000C61D6">
      <w:pPr>
        <w:rPr>
          <w:rFonts w:ascii="Arial" w:hAnsi="Arial" w:cs="Arial"/>
          <w:b/>
          <w:bCs/>
          <w:sz w:val="20"/>
          <w:szCs w:val="20"/>
        </w:rPr>
      </w:pPr>
    </w:p>
    <w:p w:rsidR="00B44B33" w:rsidRDefault="00B44B33" w:rsidP="000C61D6">
      <w:pPr>
        <w:rPr>
          <w:rFonts w:ascii="Arial" w:hAnsi="Arial" w:cs="Arial"/>
          <w:b/>
          <w:bCs/>
          <w:sz w:val="20"/>
          <w:szCs w:val="20"/>
        </w:rPr>
      </w:pPr>
    </w:p>
    <w:p w:rsidR="00B44B33" w:rsidRPr="000C61D6" w:rsidRDefault="00B44B33" w:rsidP="000C61D6">
      <w:pPr>
        <w:rPr>
          <w:rFonts w:ascii="Arial" w:hAnsi="Arial" w:cs="Arial"/>
          <w:b/>
          <w:bCs/>
          <w:sz w:val="20"/>
          <w:szCs w:val="20"/>
        </w:rPr>
      </w:pPr>
      <w:r w:rsidRPr="000C61D6">
        <w:rPr>
          <w:rFonts w:ascii="Arial" w:hAnsi="Arial" w:cs="Arial"/>
          <w:b/>
          <w:bCs/>
          <w:sz w:val="20"/>
          <w:szCs w:val="20"/>
        </w:rPr>
        <w:t>6. Taxation</w:t>
      </w:r>
    </w:p>
    <w:p w:rsidR="00B44B33" w:rsidRPr="00DD509F" w:rsidRDefault="00B44B33" w:rsidP="000C61D6">
      <w:pPr>
        <w:rPr>
          <w:rFonts w:ascii="Arial" w:hAnsi="Arial" w:cs="Arial"/>
          <w:b/>
          <w:bCs/>
          <w:spacing w:val="10"/>
          <w:sz w:val="20"/>
          <w:szCs w:val="20"/>
        </w:rPr>
      </w:pPr>
    </w:p>
    <w:p w:rsidR="00B44B33" w:rsidRDefault="00B44B33" w:rsidP="000C61D6">
      <w:pPr>
        <w:jc w:val="both"/>
        <w:rPr>
          <w:rFonts w:ascii="Arial" w:hAnsi="Arial" w:cs="Arial"/>
          <w:sz w:val="20"/>
          <w:szCs w:val="20"/>
        </w:rPr>
      </w:pPr>
      <w:r w:rsidRPr="00DD509F">
        <w:rPr>
          <w:rFonts w:ascii="Arial" w:hAnsi="Arial" w:cs="Arial"/>
          <w:sz w:val="20"/>
          <w:szCs w:val="20"/>
        </w:rPr>
        <w:t xml:space="preserve">A deferred tax asset has been calculated at £1,675,000 in relation to losses incurred during the period. In the opinion of the Directors it would not currently be prudent to record this asset at 31 December 2012 due to an element of uncertainty with regards to the timing of when the asset would be recovered if sufficient profits arose in the future. </w:t>
      </w:r>
    </w:p>
    <w:p w:rsidR="00B44B33" w:rsidRDefault="00B44B33" w:rsidP="000C61D6">
      <w:pPr>
        <w:jc w:val="both"/>
        <w:rPr>
          <w:rFonts w:ascii="Arial" w:hAnsi="Arial" w:cs="Arial"/>
          <w:sz w:val="20"/>
          <w:szCs w:val="20"/>
        </w:rPr>
      </w:pPr>
    </w:p>
    <w:p w:rsidR="00B44B33" w:rsidRPr="00DD509F" w:rsidRDefault="00B44B33" w:rsidP="000C61D6">
      <w:pPr>
        <w:jc w:val="both"/>
        <w:rPr>
          <w:rFonts w:ascii="Arial" w:hAnsi="Arial" w:cs="Arial"/>
          <w:b/>
          <w:bCs/>
          <w:color w:val="3366FF"/>
          <w:sz w:val="20"/>
          <w:szCs w:val="20"/>
        </w:rPr>
      </w:pPr>
      <w:r>
        <w:rPr>
          <w:rFonts w:ascii="Arial" w:hAnsi="Arial" w:cs="Arial"/>
          <w:sz w:val="20"/>
          <w:szCs w:val="20"/>
        </w:rPr>
        <w:t>No provision for current tax has been made, as the release of negative goodwill is a non-taxable item.</w:t>
      </w:r>
    </w:p>
    <w:p w:rsidR="00B44B33" w:rsidRPr="00DD509F" w:rsidRDefault="00B44B33" w:rsidP="00177AD8">
      <w:pPr>
        <w:jc w:val="both"/>
        <w:rPr>
          <w:rFonts w:ascii="Arial" w:hAnsi="Arial" w:cs="Arial"/>
          <w:b/>
          <w:bCs/>
          <w:spacing w:val="10"/>
          <w:sz w:val="20"/>
          <w:szCs w:val="20"/>
        </w:rPr>
      </w:pPr>
    </w:p>
    <w:p w:rsidR="00B44B33" w:rsidRPr="000C61D6" w:rsidRDefault="00B44B33" w:rsidP="000C61D6">
      <w:pPr>
        <w:rPr>
          <w:rFonts w:ascii="Arial" w:hAnsi="Arial" w:cs="Arial"/>
          <w:b/>
          <w:bCs/>
          <w:sz w:val="20"/>
          <w:szCs w:val="20"/>
        </w:rPr>
      </w:pPr>
      <w:r w:rsidRPr="000C61D6">
        <w:rPr>
          <w:rFonts w:ascii="Arial" w:hAnsi="Arial" w:cs="Arial"/>
          <w:b/>
          <w:bCs/>
          <w:sz w:val="20"/>
          <w:szCs w:val="20"/>
        </w:rPr>
        <w:t>7. Acquisition</w:t>
      </w:r>
    </w:p>
    <w:p w:rsidR="00B44B33" w:rsidRPr="00DD509F" w:rsidRDefault="00B44B33" w:rsidP="00177AD8">
      <w:pPr>
        <w:jc w:val="both"/>
        <w:rPr>
          <w:rFonts w:ascii="Arial" w:hAnsi="Arial" w:cs="Arial"/>
          <w:b/>
          <w:bCs/>
          <w:spacing w:val="10"/>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On 14 June 2012 RFCL purchased the trade and assets of RFC 2012 plc, which was in administration. Under the sale and purchase agreement</w:t>
      </w:r>
      <w:r>
        <w:rPr>
          <w:rFonts w:ascii="Arial" w:hAnsi="Arial" w:cs="Arial"/>
          <w:sz w:val="20"/>
          <w:szCs w:val="20"/>
        </w:rPr>
        <w:t xml:space="preserve"> (SPA)</w:t>
      </w:r>
      <w:r w:rsidRPr="00DD509F">
        <w:rPr>
          <w:rFonts w:ascii="Arial" w:hAnsi="Arial" w:cs="Arial"/>
          <w:sz w:val="20"/>
          <w:szCs w:val="20"/>
        </w:rPr>
        <w:t xml:space="preserve"> the total </w:t>
      </w:r>
      <w:r>
        <w:rPr>
          <w:rFonts w:ascii="Arial" w:hAnsi="Arial" w:cs="Arial"/>
          <w:sz w:val="20"/>
          <w:szCs w:val="20"/>
        </w:rPr>
        <w:t>acquisition cost</w:t>
      </w:r>
      <w:r w:rsidRPr="00DD509F">
        <w:rPr>
          <w:rFonts w:ascii="Arial" w:hAnsi="Arial" w:cs="Arial"/>
          <w:sz w:val="20"/>
          <w:szCs w:val="20"/>
        </w:rPr>
        <w:t xml:space="preserve"> of the assets was recorded as £5.5 million. Fair value adjustments have been made as per below.</w:t>
      </w:r>
    </w:p>
    <w:p w:rsidR="00B44B33" w:rsidRPr="00DD509F" w:rsidRDefault="00B44B33" w:rsidP="00177AD8">
      <w:pPr>
        <w:jc w:val="both"/>
        <w:rPr>
          <w:rFonts w:ascii="Arial" w:hAnsi="Arial" w:cs="Arial"/>
          <w:sz w:val="20"/>
          <w:szCs w:val="20"/>
        </w:rPr>
      </w:pPr>
    </w:p>
    <w:tbl>
      <w:tblPr>
        <w:tblW w:w="9639" w:type="dxa"/>
        <w:tblInd w:w="142" w:type="dxa"/>
        <w:tblLayout w:type="fixed"/>
        <w:tblCellMar>
          <w:left w:w="0" w:type="dxa"/>
          <w:right w:w="0" w:type="dxa"/>
        </w:tblCellMar>
        <w:tblLook w:val="0000" w:firstRow="0" w:lastRow="0" w:firstColumn="0" w:lastColumn="0" w:noHBand="0" w:noVBand="0"/>
      </w:tblPr>
      <w:tblGrid>
        <w:gridCol w:w="4273"/>
        <w:gridCol w:w="1705"/>
        <w:gridCol w:w="1248"/>
        <w:gridCol w:w="1513"/>
        <w:gridCol w:w="900"/>
      </w:tblGrid>
      <w:tr w:rsidR="00B44B33" w:rsidRPr="00DD509F" w:rsidTr="001F6C10">
        <w:trPr>
          <w:trHeight w:hRule="exact" w:val="808"/>
        </w:trPr>
        <w:tc>
          <w:tcPr>
            <w:tcW w:w="4273"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1705" w:type="dxa"/>
            <w:tcBorders>
              <w:top w:val="nil"/>
              <w:left w:val="nil"/>
              <w:bottom w:val="nil"/>
              <w:right w:val="nil"/>
            </w:tcBorders>
          </w:tcPr>
          <w:p w:rsidR="00B44B33" w:rsidRDefault="00B44B33" w:rsidP="00177AD8">
            <w:pPr>
              <w:jc w:val="right"/>
              <w:rPr>
                <w:rFonts w:ascii="Arial" w:hAnsi="Arial" w:cs="Arial"/>
                <w:i/>
                <w:iCs/>
                <w:spacing w:val="-8"/>
                <w:sz w:val="20"/>
                <w:szCs w:val="20"/>
              </w:rPr>
            </w:pPr>
            <w:r w:rsidRPr="00DD509F">
              <w:rPr>
                <w:rFonts w:ascii="Arial" w:hAnsi="Arial" w:cs="Arial"/>
                <w:i/>
                <w:iCs/>
                <w:spacing w:val="-8"/>
                <w:sz w:val="20"/>
                <w:szCs w:val="20"/>
              </w:rPr>
              <w:t>SPA</w:t>
            </w:r>
          </w:p>
          <w:p w:rsidR="00B44B33" w:rsidRPr="00DD509F" w:rsidRDefault="00B44B33" w:rsidP="00177AD8">
            <w:pPr>
              <w:jc w:val="right"/>
              <w:rPr>
                <w:rFonts w:ascii="Arial" w:hAnsi="Arial" w:cs="Arial"/>
                <w:i/>
                <w:iCs/>
                <w:spacing w:val="-8"/>
                <w:sz w:val="20"/>
                <w:szCs w:val="20"/>
              </w:rPr>
            </w:pPr>
            <w:r w:rsidRPr="00DD509F">
              <w:rPr>
                <w:rFonts w:ascii="Arial" w:hAnsi="Arial" w:cs="Arial"/>
                <w:i/>
                <w:iCs/>
                <w:spacing w:val="-8"/>
                <w:sz w:val="20"/>
                <w:szCs w:val="20"/>
              </w:rPr>
              <w:t xml:space="preserve"> </w:t>
            </w:r>
            <w:r>
              <w:rPr>
                <w:rFonts w:ascii="Arial" w:hAnsi="Arial" w:cs="Arial"/>
                <w:i/>
                <w:iCs/>
                <w:spacing w:val="-8"/>
                <w:sz w:val="20"/>
                <w:szCs w:val="20"/>
              </w:rPr>
              <w:t>Cost</w:t>
            </w:r>
          </w:p>
          <w:p w:rsidR="00B44B33" w:rsidRPr="00DD509F" w:rsidRDefault="00B44B33" w:rsidP="00177AD8">
            <w:pPr>
              <w:jc w:val="right"/>
              <w:rPr>
                <w:rFonts w:ascii="Arial" w:hAnsi="Arial" w:cs="Arial"/>
                <w:i/>
                <w:iCs/>
                <w:spacing w:val="-8"/>
                <w:sz w:val="20"/>
                <w:szCs w:val="20"/>
              </w:rPr>
            </w:pPr>
            <w:r w:rsidRPr="00DD509F">
              <w:rPr>
                <w:rFonts w:ascii="Arial" w:hAnsi="Arial" w:cs="Arial"/>
                <w:i/>
                <w:iCs/>
                <w:spacing w:val="-8"/>
                <w:sz w:val="20"/>
                <w:szCs w:val="20"/>
              </w:rPr>
              <w:t>£’000</w:t>
            </w:r>
          </w:p>
        </w:tc>
        <w:tc>
          <w:tcPr>
            <w:tcW w:w="1248" w:type="dxa"/>
            <w:tcBorders>
              <w:top w:val="nil"/>
              <w:left w:val="nil"/>
              <w:bottom w:val="nil"/>
              <w:right w:val="nil"/>
            </w:tcBorders>
          </w:tcPr>
          <w:p w:rsidR="00B44B33" w:rsidRPr="00DD509F" w:rsidRDefault="00B44B33" w:rsidP="00177AD8">
            <w:pPr>
              <w:jc w:val="right"/>
              <w:rPr>
                <w:rFonts w:ascii="Arial" w:hAnsi="Arial" w:cs="Arial"/>
                <w:i/>
                <w:iCs/>
                <w:spacing w:val="-8"/>
                <w:sz w:val="20"/>
                <w:szCs w:val="20"/>
              </w:rPr>
            </w:pPr>
            <w:r w:rsidRPr="00DD509F">
              <w:rPr>
                <w:rFonts w:ascii="Arial" w:hAnsi="Arial" w:cs="Arial"/>
                <w:i/>
                <w:iCs/>
                <w:spacing w:val="-8"/>
                <w:sz w:val="20"/>
                <w:szCs w:val="20"/>
              </w:rPr>
              <w:t>Other</w:t>
            </w:r>
          </w:p>
          <w:p w:rsidR="00B44B33" w:rsidRDefault="00B44B33" w:rsidP="00177AD8">
            <w:pPr>
              <w:jc w:val="right"/>
              <w:rPr>
                <w:rFonts w:ascii="Arial" w:hAnsi="Arial" w:cs="Arial"/>
                <w:i/>
                <w:iCs/>
                <w:spacing w:val="-8"/>
                <w:sz w:val="20"/>
                <w:szCs w:val="20"/>
              </w:rPr>
            </w:pPr>
            <w:r w:rsidRPr="00DD509F">
              <w:rPr>
                <w:rFonts w:ascii="Arial" w:hAnsi="Arial" w:cs="Arial"/>
                <w:i/>
                <w:iCs/>
                <w:spacing w:val="-8"/>
                <w:sz w:val="20"/>
                <w:szCs w:val="20"/>
              </w:rPr>
              <w:t>Items</w:t>
            </w:r>
          </w:p>
          <w:p w:rsidR="00B44B33" w:rsidRPr="00DD509F" w:rsidRDefault="00B44B33" w:rsidP="00177AD8">
            <w:pPr>
              <w:jc w:val="right"/>
              <w:rPr>
                <w:rFonts w:ascii="Arial" w:hAnsi="Arial" w:cs="Arial"/>
                <w:i/>
                <w:iCs/>
                <w:spacing w:val="-8"/>
                <w:sz w:val="20"/>
                <w:szCs w:val="20"/>
              </w:rPr>
            </w:pPr>
            <w:r>
              <w:rPr>
                <w:rFonts w:ascii="Arial" w:hAnsi="Arial" w:cs="Arial"/>
                <w:i/>
                <w:iCs/>
                <w:spacing w:val="-8"/>
                <w:sz w:val="20"/>
                <w:szCs w:val="20"/>
              </w:rPr>
              <w:t>£’000</w:t>
            </w:r>
          </w:p>
        </w:tc>
        <w:tc>
          <w:tcPr>
            <w:tcW w:w="1513" w:type="dxa"/>
            <w:tcBorders>
              <w:top w:val="nil"/>
              <w:left w:val="nil"/>
              <w:bottom w:val="nil"/>
              <w:right w:val="nil"/>
            </w:tcBorders>
          </w:tcPr>
          <w:p w:rsidR="00B44B33" w:rsidRPr="00DD509F" w:rsidRDefault="00B44B33" w:rsidP="00177AD8">
            <w:pPr>
              <w:jc w:val="right"/>
              <w:rPr>
                <w:rFonts w:ascii="Arial" w:hAnsi="Arial" w:cs="Arial"/>
                <w:i/>
                <w:iCs/>
                <w:spacing w:val="-8"/>
                <w:sz w:val="20"/>
                <w:szCs w:val="20"/>
              </w:rPr>
            </w:pPr>
            <w:r w:rsidRPr="00DD509F">
              <w:rPr>
                <w:rFonts w:ascii="Arial" w:hAnsi="Arial" w:cs="Arial"/>
                <w:i/>
                <w:iCs/>
                <w:spacing w:val="-8"/>
                <w:sz w:val="20"/>
                <w:szCs w:val="20"/>
              </w:rPr>
              <w:t>Fair value</w:t>
            </w:r>
          </w:p>
          <w:p w:rsidR="00B44B33" w:rsidRPr="00DD509F" w:rsidRDefault="00B44B33" w:rsidP="00177AD8">
            <w:pPr>
              <w:jc w:val="right"/>
              <w:rPr>
                <w:rFonts w:ascii="Arial" w:hAnsi="Arial" w:cs="Arial"/>
                <w:i/>
                <w:iCs/>
                <w:spacing w:val="-8"/>
                <w:sz w:val="20"/>
                <w:szCs w:val="20"/>
              </w:rPr>
            </w:pPr>
            <w:r w:rsidRPr="00DD509F">
              <w:rPr>
                <w:rFonts w:ascii="Arial" w:hAnsi="Arial" w:cs="Arial"/>
                <w:i/>
                <w:iCs/>
                <w:spacing w:val="-8"/>
                <w:sz w:val="20"/>
                <w:szCs w:val="20"/>
              </w:rPr>
              <w:t>adjustment</w:t>
            </w:r>
          </w:p>
          <w:p w:rsidR="00B44B33" w:rsidRPr="00DD509F" w:rsidRDefault="00B44B33" w:rsidP="00177AD8">
            <w:pPr>
              <w:jc w:val="right"/>
              <w:rPr>
                <w:rFonts w:ascii="Arial" w:hAnsi="Arial" w:cs="Arial"/>
                <w:i/>
                <w:iCs/>
                <w:spacing w:val="-8"/>
                <w:sz w:val="20"/>
                <w:szCs w:val="20"/>
              </w:rPr>
            </w:pPr>
            <w:r w:rsidRPr="00DD509F">
              <w:rPr>
                <w:rFonts w:ascii="Arial" w:hAnsi="Arial" w:cs="Arial"/>
                <w:i/>
                <w:iCs/>
                <w:spacing w:val="-8"/>
                <w:sz w:val="20"/>
                <w:szCs w:val="20"/>
              </w:rPr>
              <w:t>£’000</w:t>
            </w:r>
          </w:p>
        </w:tc>
        <w:tc>
          <w:tcPr>
            <w:tcW w:w="900" w:type="dxa"/>
            <w:tcBorders>
              <w:top w:val="nil"/>
              <w:left w:val="nil"/>
              <w:bottom w:val="nil"/>
              <w:right w:val="nil"/>
            </w:tcBorders>
          </w:tcPr>
          <w:p w:rsidR="00B44B33" w:rsidRPr="00DD509F" w:rsidRDefault="00B44B33" w:rsidP="00177AD8">
            <w:pPr>
              <w:jc w:val="right"/>
              <w:rPr>
                <w:rFonts w:ascii="Arial" w:hAnsi="Arial" w:cs="Arial"/>
                <w:i/>
                <w:iCs/>
                <w:spacing w:val="-8"/>
                <w:sz w:val="20"/>
                <w:szCs w:val="20"/>
              </w:rPr>
            </w:pPr>
            <w:r w:rsidRPr="00DD509F">
              <w:rPr>
                <w:rFonts w:ascii="Arial" w:hAnsi="Arial" w:cs="Arial"/>
                <w:i/>
                <w:iCs/>
                <w:spacing w:val="-8"/>
                <w:sz w:val="20"/>
                <w:szCs w:val="20"/>
              </w:rPr>
              <w:t>Fair value</w:t>
            </w:r>
          </w:p>
          <w:p w:rsidR="00B44B33" w:rsidRPr="00DD509F" w:rsidRDefault="00B44B33" w:rsidP="00177AD8">
            <w:pPr>
              <w:jc w:val="right"/>
              <w:rPr>
                <w:rFonts w:ascii="Arial" w:hAnsi="Arial" w:cs="Arial"/>
                <w:i/>
                <w:iCs/>
                <w:spacing w:val="-8"/>
                <w:sz w:val="20"/>
                <w:szCs w:val="20"/>
              </w:rPr>
            </w:pPr>
            <w:r w:rsidRPr="00DD509F">
              <w:rPr>
                <w:rFonts w:ascii="Arial" w:hAnsi="Arial" w:cs="Arial"/>
                <w:i/>
                <w:iCs/>
                <w:spacing w:val="-8"/>
                <w:sz w:val="20"/>
                <w:szCs w:val="20"/>
              </w:rPr>
              <w:t>to Group</w:t>
            </w:r>
          </w:p>
          <w:p w:rsidR="00B44B33" w:rsidRPr="00DD509F" w:rsidRDefault="00B44B33" w:rsidP="00177AD8">
            <w:pPr>
              <w:jc w:val="right"/>
              <w:rPr>
                <w:rFonts w:ascii="Arial" w:hAnsi="Arial" w:cs="Arial"/>
                <w:i/>
                <w:iCs/>
                <w:spacing w:val="-8"/>
                <w:sz w:val="20"/>
                <w:szCs w:val="20"/>
              </w:rPr>
            </w:pPr>
            <w:r w:rsidRPr="00DD509F">
              <w:rPr>
                <w:rFonts w:ascii="Arial" w:hAnsi="Arial" w:cs="Arial"/>
                <w:i/>
                <w:iCs/>
                <w:spacing w:val="-8"/>
                <w:sz w:val="20"/>
                <w:szCs w:val="20"/>
              </w:rPr>
              <w:t>£’000</w:t>
            </w:r>
          </w:p>
        </w:tc>
      </w:tr>
      <w:tr w:rsidR="00B44B33" w:rsidRPr="00DD509F" w:rsidTr="001F6C10">
        <w:trPr>
          <w:trHeight w:hRule="exact" w:val="580"/>
        </w:trPr>
        <w:tc>
          <w:tcPr>
            <w:tcW w:w="4273"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Properties, plant and equipment:</w:t>
            </w:r>
          </w:p>
          <w:p w:rsidR="00B44B33" w:rsidRPr="00DD509F" w:rsidRDefault="00B44B33" w:rsidP="00177AD8">
            <w:pPr>
              <w:rPr>
                <w:rFonts w:ascii="Arial" w:hAnsi="Arial" w:cs="Arial"/>
                <w:sz w:val="20"/>
                <w:szCs w:val="20"/>
              </w:rPr>
            </w:pPr>
            <w:r w:rsidRPr="00DD509F">
              <w:rPr>
                <w:rFonts w:ascii="Arial" w:hAnsi="Arial" w:cs="Arial"/>
                <w:sz w:val="20"/>
                <w:szCs w:val="20"/>
              </w:rPr>
              <w:t>Stadium and training facility</w:t>
            </w:r>
          </w:p>
        </w:tc>
        <w:tc>
          <w:tcPr>
            <w:tcW w:w="1705"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1,500</w:t>
            </w:r>
          </w:p>
        </w:tc>
        <w:tc>
          <w:tcPr>
            <w:tcW w:w="1248"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513"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5,000</w:t>
            </w:r>
          </w:p>
        </w:tc>
        <w:tc>
          <w:tcPr>
            <w:tcW w:w="900"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6,500</w:t>
            </w:r>
          </w:p>
        </w:tc>
      </w:tr>
      <w:tr w:rsidR="00B44B33" w:rsidRPr="00DD509F" w:rsidTr="001F6C10">
        <w:trPr>
          <w:trHeight w:hRule="exact" w:val="231"/>
        </w:trPr>
        <w:tc>
          <w:tcPr>
            <w:tcW w:w="4273"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Other properties, plant and equipment</w:t>
            </w:r>
          </w:p>
        </w:tc>
        <w:tc>
          <w:tcPr>
            <w:tcW w:w="1705"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1,250</w:t>
            </w:r>
          </w:p>
        </w:tc>
        <w:tc>
          <w:tcPr>
            <w:tcW w:w="1248"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513"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220</w:t>
            </w:r>
          </w:p>
        </w:tc>
        <w:tc>
          <w:tcPr>
            <w:tcW w:w="900"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1,470</w:t>
            </w:r>
          </w:p>
        </w:tc>
      </w:tr>
      <w:tr w:rsidR="00B44B33" w:rsidRPr="00DD509F" w:rsidTr="001F6C10">
        <w:trPr>
          <w:trHeight w:hRule="exact" w:val="513"/>
        </w:trPr>
        <w:tc>
          <w:tcPr>
            <w:tcW w:w="4273"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Intangibles assets:</w:t>
            </w:r>
          </w:p>
          <w:p w:rsidR="00B44B33" w:rsidRPr="00DD509F" w:rsidRDefault="00B44B33" w:rsidP="00177AD8">
            <w:pPr>
              <w:rPr>
                <w:rFonts w:ascii="Arial" w:hAnsi="Arial" w:cs="Arial"/>
                <w:sz w:val="20"/>
                <w:szCs w:val="20"/>
              </w:rPr>
            </w:pPr>
            <w:r w:rsidRPr="00DD509F">
              <w:rPr>
                <w:rFonts w:ascii="Arial" w:hAnsi="Arial" w:cs="Arial"/>
                <w:sz w:val="20"/>
                <w:szCs w:val="20"/>
              </w:rPr>
              <w:t>Player registrations</w:t>
            </w:r>
          </w:p>
        </w:tc>
        <w:tc>
          <w:tcPr>
            <w:tcW w:w="1705"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2,750</w:t>
            </w:r>
          </w:p>
        </w:tc>
        <w:tc>
          <w:tcPr>
            <w:tcW w:w="1248"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513"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825</w:t>
            </w:r>
          </w:p>
        </w:tc>
        <w:tc>
          <w:tcPr>
            <w:tcW w:w="900"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3,575</w:t>
            </w:r>
          </w:p>
        </w:tc>
      </w:tr>
      <w:tr w:rsidR="00B44B33" w:rsidRPr="00DD509F" w:rsidTr="001F6C10">
        <w:trPr>
          <w:trHeight w:hRule="exact" w:val="264"/>
        </w:trPr>
        <w:tc>
          <w:tcPr>
            <w:tcW w:w="4273"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Brand</w:t>
            </w:r>
          </w:p>
        </w:tc>
        <w:tc>
          <w:tcPr>
            <w:tcW w:w="1705"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248"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513"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16,042</w:t>
            </w:r>
          </w:p>
        </w:tc>
        <w:tc>
          <w:tcPr>
            <w:tcW w:w="900"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16,042</w:t>
            </w:r>
          </w:p>
        </w:tc>
      </w:tr>
      <w:tr w:rsidR="00B44B33" w:rsidRPr="00DD509F" w:rsidTr="001F6C10">
        <w:trPr>
          <w:trHeight w:hRule="exact" w:val="519"/>
        </w:trPr>
        <w:tc>
          <w:tcPr>
            <w:tcW w:w="4273"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Liabilities:</w:t>
            </w:r>
          </w:p>
          <w:p w:rsidR="00B44B33" w:rsidRPr="00DD509F" w:rsidRDefault="00B44B33" w:rsidP="00177AD8">
            <w:pPr>
              <w:rPr>
                <w:rFonts w:ascii="Arial" w:hAnsi="Arial" w:cs="Arial"/>
                <w:sz w:val="20"/>
                <w:szCs w:val="20"/>
              </w:rPr>
            </w:pPr>
            <w:r w:rsidRPr="00DD509F">
              <w:rPr>
                <w:rFonts w:ascii="Arial" w:hAnsi="Arial" w:cs="Arial"/>
                <w:sz w:val="20"/>
                <w:szCs w:val="20"/>
              </w:rPr>
              <w:t>Cost of player disposals</w:t>
            </w:r>
          </w:p>
        </w:tc>
        <w:tc>
          <w:tcPr>
            <w:tcW w:w="1705"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248"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513"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(372)</w:t>
            </w:r>
          </w:p>
        </w:tc>
        <w:tc>
          <w:tcPr>
            <w:tcW w:w="900"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(372)</w:t>
            </w:r>
          </w:p>
        </w:tc>
      </w:tr>
      <w:tr w:rsidR="00B44B33" w:rsidRPr="00DD509F" w:rsidTr="001F6C10">
        <w:trPr>
          <w:trHeight w:hRule="exact" w:val="307"/>
        </w:trPr>
        <w:tc>
          <w:tcPr>
            <w:tcW w:w="4273"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Liability acquired</w:t>
            </w:r>
          </w:p>
        </w:tc>
        <w:tc>
          <w:tcPr>
            <w:tcW w:w="1705"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248"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(1,200)</w:t>
            </w:r>
          </w:p>
        </w:tc>
        <w:tc>
          <w:tcPr>
            <w:tcW w:w="1513"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1,200</w:t>
            </w:r>
          </w:p>
        </w:tc>
        <w:tc>
          <w:tcPr>
            <w:tcW w:w="900"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r>
      <w:tr w:rsidR="00B44B33" w:rsidRPr="00DD509F" w:rsidTr="001F6C10">
        <w:trPr>
          <w:trHeight w:hRule="exact" w:val="317"/>
        </w:trPr>
        <w:tc>
          <w:tcPr>
            <w:tcW w:w="4273" w:type="dxa"/>
            <w:tcBorders>
              <w:top w:val="nil"/>
              <w:left w:val="nil"/>
              <w:bottom w:val="nil"/>
              <w:right w:val="nil"/>
            </w:tcBorders>
          </w:tcPr>
          <w:p w:rsidR="00B44B33" w:rsidRPr="00DD509F" w:rsidRDefault="00B44B33" w:rsidP="00177AD8">
            <w:pPr>
              <w:rPr>
                <w:rFonts w:ascii="Arial" w:hAnsi="Arial" w:cs="Arial"/>
                <w:sz w:val="20"/>
                <w:szCs w:val="20"/>
              </w:rPr>
            </w:pPr>
          </w:p>
        </w:tc>
        <w:tc>
          <w:tcPr>
            <w:tcW w:w="1705" w:type="dxa"/>
            <w:tcBorders>
              <w:top w:val="single" w:sz="2" w:space="0" w:color="auto"/>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5,500</w:t>
            </w:r>
          </w:p>
        </w:tc>
        <w:tc>
          <w:tcPr>
            <w:tcW w:w="1248" w:type="dxa"/>
            <w:tcBorders>
              <w:top w:val="single" w:sz="2" w:space="0" w:color="auto"/>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(1,200)</w:t>
            </w:r>
          </w:p>
        </w:tc>
        <w:tc>
          <w:tcPr>
            <w:tcW w:w="1513" w:type="dxa"/>
            <w:tcBorders>
              <w:top w:val="single" w:sz="2" w:space="0" w:color="auto"/>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22,915</w:t>
            </w:r>
          </w:p>
        </w:tc>
        <w:tc>
          <w:tcPr>
            <w:tcW w:w="900" w:type="dxa"/>
            <w:tcBorders>
              <w:top w:val="single" w:sz="2" w:space="0" w:color="auto"/>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27,215</w:t>
            </w:r>
          </w:p>
        </w:tc>
      </w:tr>
      <w:tr w:rsidR="00B44B33" w:rsidRPr="00DD509F" w:rsidTr="001F6C10">
        <w:trPr>
          <w:trHeight w:hRule="exact" w:val="302"/>
        </w:trPr>
        <w:tc>
          <w:tcPr>
            <w:tcW w:w="4273"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Negative goodwill</w:t>
            </w:r>
          </w:p>
        </w:tc>
        <w:tc>
          <w:tcPr>
            <w:tcW w:w="1705"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1248"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1513"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900"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(20,465)</w:t>
            </w:r>
          </w:p>
        </w:tc>
      </w:tr>
      <w:tr w:rsidR="00B44B33" w:rsidRPr="00DD509F" w:rsidTr="001F6C10">
        <w:trPr>
          <w:trHeight w:hRule="exact" w:val="394"/>
        </w:trPr>
        <w:tc>
          <w:tcPr>
            <w:tcW w:w="4273"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Total consideration</w:t>
            </w:r>
          </w:p>
        </w:tc>
        <w:tc>
          <w:tcPr>
            <w:tcW w:w="1705"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1248"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1513"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900"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6,750</w:t>
            </w:r>
          </w:p>
        </w:tc>
      </w:tr>
      <w:tr w:rsidR="00B44B33" w:rsidRPr="00DD509F" w:rsidTr="001F6C10">
        <w:trPr>
          <w:trHeight w:hRule="exact" w:val="581"/>
        </w:trPr>
        <w:tc>
          <w:tcPr>
            <w:tcW w:w="4273"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Satisfied by:</w:t>
            </w:r>
          </w:p>
          <w:p w:rsidR="00B44B33" w:rsidRPr="00DD509F" w:rsidRDefault="00B44B33" w:rsidP="00177AD8">
            <w:pPr>
              <w:rPr>
                <w:rFonts w:ascii="Arial" w:hAnsi="Arial" w:cs="Arial"/>
                <w:sz w:val="20"/>
                <w:szCs w:val="20"/>
              </w:rPr>
            </w:pPr>
            <w:r w:rsidRPr="00DD509F">
              <w:rPr>
                <w:rFonts w:ascii="Arial" w:hAnsi="Arial" w:cs="Arial"/>
                <w:sz w:val="20"/>
                <w:szCs w:val="20"/>
              </w:rPr>
              <w:t>Cash</w:t>
            </w:r>
          </w:p>
        </w:tc>
        <w:tc>
          <w:tcPr>
            <w:tcW w:w="1705"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1248"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1513"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900" w:type="dxa"/>
            <w:tcBorders>
              <w:top w:val="single" w:sz="2" w:space="0" w:color="auto"/>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5,500</w:t>
            </w:r>
          </w:p>
        </w:tc>
      </w:tr>
      <w:tr w:rsidR="00B44B33" w:rsidRPr="00DD509F" w:rsidTr="001F6C10">
        <w:trPr>
          <w:trHeight w:hRule="exact" w:val="307"/>
        </w:trPr>
        <w:tc>
          <w:tcPr>
            <w:tcW w:w="4273"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Preacquisition costs</w:t>
            </w:r>
          </w:p>
        </w:tc>
        <w:tc>
          <w:tcPr>
            <w:tcW w:w="1705"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1248"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1513" w:type="dxa"/>
            <w:tcBorders>
              <w:top w:val="nil"/>
              <w:left w:val="nil"/>
              <w:bottom w:val="nil"/>
              <w:right w:val="nil"/>
            </w:tcBorders>
          </w:tcPr>
          <w:p w:rsidR="00B44B33" w:rsidRPr="00DD509F" w:rsidRDefault="00B44B33" w:rsidP="00177AD8">
            <w:pPr>
              <w:jc w:val="right"/>
              <w:rPr>
                <w:rFonts w:ascii="Arial" w:hAnsi="Arial" w:cs="Arial"/>
                <w:sz w:val="20"/>
                <w:szCs w:val="20"/>
              </w:rPr>
            </w:pPr>
          </w:p>
        </w:tc>
        <w:tc>
          <w:tcPr>
            <w:tcW w:w="900"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1,250</w:t>
            </w:r>
          </w:p>
        </w:tc>
      </w:tr>
      <w:tr w:rsidR="00B44B33" w:rsidRPr="00DD509F" w:rsidTr="001F6C10">
        <w:tblPrEx>
          <w:tblCellMar>
            <w:left w:w="108" w:type="dxa"/>
            <w:right w:w="108" w:type="dxa"/>
          </w:tblCellMar>
        </w:tblPrEx>
        <w:trPr>
          <w:trHeight w:hRule="exact" w:val="494"/>
        </w:trPr>
        <w:tc>
          <w:tcPr>
            <w:tcW w:w="4273" w:type="dxa"/>
          </w:tcPr>
          <w:p w:rsidR="00B44B33" w:rsidRPr="00DD509F" w:rsidRDefault="00B44B33" w:rsidP="00177AD8">
            <w:pPr>
              <w:rPr>
                <w:rFonts w:ascii="Arial" w:hAnsi="Arial" w:cs="Arial"/>
                <w:sz w:val="20"/>
                <w:szCs w:val="20"/>
              </w:rPr>
            </w:pPr>
            <w:r w:rsidRPr="00DD509F">
              <w:rPr>
                <w:rFonts w:ascii="Arial" w:hAnsi="Arial" w:cs="Arial"/>
                <w:sz w:val="20"/>
                <w:szCs w:val="20"/>
              </w:rPr>
              <w:t>Total consideration transferred</w:t>
            </w:r>
          </w:p>
        </w:tc>
        <w:tc>
          <w:tcPr>
            <w:tcW w:w="1705" w:type="dxa"/>
          </w:tcPr>
          <w:p w:rsidR="00B44B33" w:rsidRPr="00DD509F" w:rsidRDefault="00B44B33" w:rsidP="00177AD8">
            <w:pPr>
              <w:jc w:val="right"/>
              <w:rPr>
                <w:rFonts w:ascii="Arial" w:hAnsi="Arial" w:cs="Arial"/>
                <w:sz w:val="20"/>
                <w:szCs w:val="20"/>
              </w:rPr>
            </w:pPr>
          </w:p>
        </w:tc>
        <w:tc>
          <w:tcPr>
            <w:tcW w:w="1248" w:type="dxa"/>
          </w:tcPr>
          <w:p w:rsidR="00B44B33" w:rsidRPr="00DD509F" w:rsidRDefault="00B44B33" w:rsidP="00177AD8">
            <w:pPr>
              <w:jc w:val="right"/>
              <w:rPr>
                <w:rFonts w:ascii="Arial" w:hAnsi="Arial" w:cs="Arial"/>
                <w:sz w:val="20"/>
                <w:szCs w:val="20"/>
              </w:rPr>
            </w:pPr>
          </w:p>
        </w:tc>
        <w:tc>
          <w:tcPr>
            <w:tcW w:w="1513" w:type="dxa"/>
          </w:tcPr>
          <w:p w:rsidR="00B44B33" w:rsidRPr="00DD509F" w:rsidRDefault="00B44B33" w:rsidP="00177AD8">
            <w:pPr>
              <w:jc w:val="right"/>
              <w:rPr>
                <w:rFonts w:ascii="Arial" w:hAnsi="Arial" w:cs="Arial"/>
                <w:sz w:val="20"/>
                <w:szCs w:val="20"/>
              </w:rPr>
            </w:pPr>
          </w:p>
        </w:tc>
        <w:tc>
          <w:tcPr>
            <w:tcW w:w="900" w:type="dxa"/>
          </w:tcPr>
          <w:p w:rsidR="00B44B33" w:rsidRDefault="00B44B33" w:rsidP="00D77437">
            <w:pPr>
              <w:ind w:right="-227"/>
              <w:jc w:val="center"/>
              <w:rPr>
                <w:rFonts w:ascii="Arial" w:hAnsi="Arial" w:cs="Arial"/>
                <w:sz w:val="20"/>
                <w:szCs w:val="20"/>
              </w:rPr>
            </w:pPr>
            <w:r>
              <w:rPr>
                <w:rFonts w:ascii="Arial" w:hAnsi="Arial" w:cs="Arial"/>
                <w:sz w:val="20"/>
                <w:szCs w:val="20"/>
              </w:rPr>
              <w:t xml:space="preserve">   </w:t>
            </w:r>
            <w:r w:rsidRPr="00B80AF8">
              <w:rPr>
                <w:rFonts w:ascii="Arial" w:hAnsi="Arial" w:cs="Arial"/>
                <w:sz w:val="20"/>
                <w:szCs w:val="20"/>
              </w:rPr>
              <w:t>6,750</w:t>
            </w:r>
          </w:p>
        </w:tc>
      </w:tr>
    </w:tbl>
    <w:p w:rsidR="00B44B33" w:rsidRDefault="00B44B33" w:rsidP="00177AD8">
      <w:pPr>
        <w:rPr>
          <w:rFonts w:ascii="Arial" w:hAnsi="Arial" w:cs="Arial"/>
          <w:spacing w:val="-2"/>
          <w:sz w:val="20"/>
          <w:szCs w:val="20"/>
        </w:rPr>
      </w:pPr>
    </w:p>
    <w:p w:rsidR="00B44B33" w:rsidRDefault="00B44B33" w:rsidP="00177AD8">
      <w:pPr>
        <w:rPr>
          <w:rFonts w:ascii="Arial" w:hAnsi="Arial" w:cs="Arial"/>
          <w:sz w:val="20"/>
          <w:szCs w:val="20"/>
        </w:rPr>
      </w:pPr>
      <w:r w:rsidRPr="00DD509F">
        <w:rPr>
          <w:rFonts w:ascii="Arial" w:hAnsi="Arial" w:cs="Arial"/>
          <w:spacing w:val="-2"/>
          <w:sz w:val="20"/>
          <w:szCs w:val="20"/>
        </w:rPr>
        <w:t>Details of the fair value adjustments are as follows;</w:t>
      </w:r>
      <w:r w:rsidRPr="00DD509F">
        <w:rPr>
          <w:rFonts w:ascii="Arial" w:hAnsi="Arial" w:cs="Arial"/>
          <w:sz w:val="20"/>
          <w:szCs w:val="20"/>
        </w:rPr>
        <w:t xml:space="preserve"> </w:t>
      </w:r>
    </w:p>
    <w:p w:rsidR="00B44B33" w:rsidRDefault="00B44B33" w:rsidP="00177AD8">
      <w:pPr>
        <w:rPr>
          <w:rFonts w:ascii="Arial" w:hAnsi="Arial" w:cs="Arial"/>
          <w:sz w:val="20"/>
          <w:szCs w:val="20"/>
        </w:rPr>
      </w:pPr>
    </w:p>
    <w:p w:rsidR="00B44B33" w:rsidRPr="00DD509F" w:rsidRDefault="00B44B33" w:rsidP="00177AD8">
      <w:pPr>
        <w:rPr>
          <w:rFonts w:ascii="Arial" w:hAnsi="Arial" w:cs="Arial"/>
          <w:b/>
          <w:bCs/>
          <w:i/>
          <w:iCs/>
          <w:sz w:val="20"/>
          <w:szCs w:val="20"/>
        </w:rPr>
      </w:pPr>
      <w:r w:rsidRPr="00DD509F">
        <w:rPr>
          <w:rFonts w:ascii="Arial" w:hAnsi="Arial" w:cs="Arial"/>
          <w:sz w:val="20"/>
          <w:szCs w:val="20"/>
        </w:rPr>
        <w:t xml:space="preserve">(1) </w:t>
      </w:r>
      <w:r w:rsidRPr="00DD509F">
        <w:rPr>
          <w:rFonts w:ascii="Arial" w:hAnsi="Arial" w:cs="Arial"/>
          <w:b/>
          <w:bCs/>
          <w:i/>
          <w:iCs/>
          <w:sz w:val="20"/>
          <w:szCs w:val="20"/>
        </w:rPr>
        <w:t>Property plant and equipment</w:t>
      </w:r>
    </w:p>
    <w:p w:rsidR="00B44B33" w:rsidRDefault="00B44B33" w:rsidP="00177AD8">
      <w:pPr>
        <w:jc w:val="both"/>
        <w:rPr>
          <w:rFonts w:ascii="Arial" w:hAnsi="Arial" w:cs="Arial"/>
          <w:sz w:val="20"/>
          <w:szCs w:val="20"/>
        </w:rPr>
      </w:pPr>
      <w:r w:rsidRPr="00DD509F">
        <w:rPr>
          <w:rFonts w:ascii="Arial" w:hAnsi="Arial" w:cs="Arial"/>
          <w:sz w:val="20"/>
          <w:szCs w:val="20"/>
        </w:rPr>
        <w:t xml:space="preserve">The majority of the tangible asset value relates to the Ibrox Stadium and training grounds. A value in alternative use approach </w:t>
      </w:r>
      <w:r>
        <w:rPr>
          <w:rFonts w:ascii="Arial" w:hAnsi="Arial" w:cs="Arial"/>
          <w:sz w:val="20"/>
          <w:szCs w:val="20"/>
        </w:rPr>
        <w:t>was</w:t>
      </w:r>
      <w:r w:rsidRPr="00DD509F">
        <w:rPr>
          <w:rFonts w:ascii="Arial" w:hAnsi="Arial" w:cs="Arial"/>
          <w:sz w:val="20"/>
          <w:szCs w:val="20"/>
        </w:rPr>
        <w:t xml:space="preserve"> used to value these assets on acquisition (14 June </w:t>
      </w:r>
      <w:r w:rsidRPr="00DD509F">
        <w:rPr>
          <w:rFonts w:ascii="Arial" w:hAnsi="Arial" w:cs="Arial"/>
          <w:spacing w:val="-2"/>
          <w:sz w:val="20"/>
          <w:szCs w:val="20"/>
        </w:rPr>
        <w:t xml:space="preserve">2012). The valuation </w:t>
      </w:r>
      <w:r>
        <w:rPr>
          <w:rFonts w:ascii="Arial" w:hAnsi="Arial" w:cs="Arial"/>
          <w:spacing w:val="-2"/>
          <w:sz w:val="20"/>
          <w:szCs w:val="20"/>
        </w:rPr>
        <w:t>was</w:t>
      </w:r>
      <w:r w:rsidRPr="00DD509F">
        <w:rPr>
          <w:rFonts w:ascii="Arial" w:hAnsi="Arial" w:cs="Arial"/>
          <w:spacing w:val="-2"/>
          <w:sz w:val="20"/>
          <w:szCs w:val="20"/>
        </w:rPr>
        <w:t xml:space="preserve"> performed by DM Hall LLP, independent valuer, not connected with</w:t>
      </w:r>
      <w:r w:rsidRPr="00DD509F">
        <w:rPr>
          <w:rFonts w:ascii="Arial" w:hAnsi="Arial" w:cs="Arial"/>
          <w:sz w:val="20"/>
          <w:szCs w:val="20"/>
        </w:rPr>
        <w:t xml:space="preserve"> the Group.</w:t>
      </w:r>
    </w:p>
    <w:p w:rsidR="00B44B33" w:rsidRPr="00DD509F" w:rsidRDefault="00B44B33" w:rsidP="00177AD8">
      <w:pPr>
        <w:jc w:val="both"/>
        <w:rPr>
          <w:rFonts w:ascii="Arial" w:hAnsi="Arial" w:cs="Arial"/>
          <w:sz w:val="20"/>
          <w:szCs w:val="20"/>
        </w:rPr>
      </w:pPr>
    </w:p>
    <w:p w:rsidR="00B44B33" w:rsidRPr="00DD509F" w:rsidRDefault="00B44B33" w:rsidP="00177AD8">
      <w:pPr>
        <w:jc w:val="both"/>
        <w:rPr>
          <w:rFonts w:ascii="Arial" w:hAnsi="Arial" w:cs="Arial"/>
          <w:b/>
          <w:bCs/>
          <w:i/>
          <w:iCs/>
          <w:sz w:val="20"/>
          <w:szCs w:val="20"/>
        </w:rPr>
      </w:pPr>
      <w:r w:rsidRPr="00DD509F">
        <w:rPr>
          <w:rFonts w:ascii="Arial" w:hAnsi="Arial" w:cs="Arial"/>
          <w:sz w:val="20"/>
          <w:szCs w:val="20"/>
        </w:rPr>
        <w:t xml:space="preserve">(2) </w:t>
      </w:r>
      <w:r w:rsidRPr="00DD509F">
        <w:rPr>
          <w:rFonts w:ascii="Arial" w:hAnsi="Arial" w:cs="Arial"/>
          <w:b/>
          <w:bCs/>
          <w:i/>
          <w:iCs/>
          <w:sz w:val="20"/>
          <w:szCs w:val="20"/>
        </w:rPr>
        <w:t>Intangible assets</w:t>
      </w:r>
    </w:p>
    <w:p w:rsidR="00B44B33" w:rsidRDefault="00B44B33" w:rsidP="00177AD8">
      <w:pPr>
        <w:jc w:val="both"/>
        <w:rPr>
          <w:rFonts w:ascii="Arial" w:hAnsi="Arial" w:cs="Arial"/>
          <w:sz w:val="20"/>
          <w:szCs w:val="20"/>
        </w:rPr>
      </w:pPr>
      <w:r w:rsidRPr="00DD509F">
        <w:rPr>
          <w:rFonts w:ascii="Arial" w:hAnsi="Arial" w:cs="Arial"/>
          <w:spacing w:val="-2"/>
          <w:sz w:val="20"/>
          <w:szCs w:val="20"/>
        </w:rPr>
        <w:t>The player registration intangible asset was valued using a market approach valuation methodology.</w:t>
      </w:r>
      <w:r w:rsidRPr="00DD509F">
        <w:rPr>
          <w:rFonts w:ascii="Arial" w:hAnsi="Arial" w:cs="Arial"/>
          <w:sz w:val="20"/>
          <w:szCs w:val="20"/>
        </w:rPr>
        <w:t xml:space="preserve"> This involved an assessment of the fair market value of each player and consideration was given </w:t>
      </w:r>
      <w:r w:rsidRPr="00DD509F">
        <w:rPr>
          <w:rFonts w:ascii="Arial" w:hAnsi="Arial" w:cs="Arial"/>
          <w:spacing w:val="-2"/>
          <w:sz w:val="20"/>
          <w:szCs w:val="20"/>
        </w:rPr>
        <w:t>to historical transfer fees for the players, recent transfer fees for similar players and offers received</w:t>
      </w:r>
      <w:r w:rsidRPr="00DD509F">
        <w:rPr>
          <w:rFonts w:ascii="Arial" w:hAnsi="Arial" w:cs="Arial"/>
          <w:sz w:val="20"/>
          <w:szCs w:val="20"/>
        </w:rPr>
        <w:t xml:space="preserve"> for players from other clubs.</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pacing w:val="-2"/>
          <w:sz w:val="20"/>
          <w:szCs w:val="20"/>
        </w:rPr>
      </w:pPr>
      <w:r w:rsidRPr="00DD509F">
        <w:rPr>
          <w:rFonts w:ascii="Arial" w:hAnsi="Arial" w:cs="Arial"/>
          <w:sz w:val="20"/>
          <w:szCs w:val="20"/>
        </w:rPr>
        <w:t xml:space="preserve">In addition the brand of Rangers Football Club was valued using an estimate of future cash inflows, using the Royalty relief method. This asset is considered by the Directors to have an </w:t>
      </w:r>
      <w:r w:rsidRPr="00DD509F">
        <w:rPr>
          <w:rFonts w:ascii="Arial" w:hAnsi="Arial" w:cs="Arial"/>
          <w:spacing w:val="-2"/>
          <w:sz w:val="20"/>
          <w:szCs w:val="20"/>
        </w:rPr>
        <w:t xml:space="preserve">indefinite useful life. </w:t>
      </w:r>
    </w:p>
    <w:p w:rsidR="00B44B33" w:rsidRDefault="00B44B33" w:rsidP="00177AD8">
      <w:pPr>
        <w:jc w:val="both"/>
        <w:rPr>
          <w:rFonts w:ascii="Arial" w:hAnsi="Arial" w:cs="Arial"/>
          <w:spacing w:val="-2"/>
          <w:sz w:val="20"/>
          <w:szCs w:val="20"/>
        </w:rPr>
      </w:pPr>
    </w:p>
    <w:p w:rsidR="00B44B33" w:rsidRDefault="00B44B33" w:rsidP="00177AD8">
      <w:pPr>
        <w:jc w:val="both"/>
        <w:rPr>
          <w:rFonts w:ascii="Arial" w:hAnsi="Arial" w:cs="Arial"/>
          <w:sz w:val="20"/>
          <w:szCs w:val="20"/>
        </w:rPr>
      </w:pPr>
      <w:r w:rsidRPr="00DD509F">
        <w:rPr>
          <w:rFonts w:ascii="Arial" w:hAnsi="Arial" w:cs="Arial"/>
          <w:spacing w:val="-2"/>
          <w:sz w:val="20"/>
          <w:szCs w:val="20"/>
        </w:rPr>
        <w:t>The valuation</w:t>
      </w:r>
      <w:r>
        <w:rPr>
          <w:rFonts w:ascii="Arial" w:hAnsi="Arial" w:cs="Arial"/>
          <w:spacing w:val="-2"/>
          <w:sz w:val="20"/>
          <w:szCs w:val="20"/>
        </w:rPr>
        <w:t>s</w:t>
      </w:r>
      <w:r w:rsidRPr="00DD509F">
        <w:rPr>
          <w:rFonts w:ascii="Arial" w:hAnsi="Arial" w:cs="Arial"/>
          <w:spacing w:val="-2"/>
          <w:sz w:val="20"/>
          <w:szCs w:val="20"/>
        </w:rPr>
        <w:t xml:space="preserve"> </w:t>
      </w:r>
      <w:r>
        <w:rPr>
          <w:rFonts w:ascii="Arial" w:hAnsi="Arial" w:cs="Arial"/>
          <w:spacing w:val="-2"/>
          <w:sz w:val="20"/>
          <w:szCs w:val="20"/>
        </w:rPr>
        <w:t>were</w:t>
      </w:r>
      <w:r w:rsidRPr="00DD509F">
        <w:rPr>
          <w:rFonts w:ascii="Arial" w:hAnsi="Arial" w:cs="Arial"/>
          <w:spacing w:val="-2"/>
          <w:sz w:val="20"/>
          <w:szCs w:val="20"/>
        </w:rPr>
        <w:t xml:space="preserve"> performed by Jeffreys Henry LLP, independent valuer,</w:t>
      </w:r>
      <w:r w:rsidRPr="00DD509F">
        <w:rPr>
          <w:rFonts w:ascii="Arial" w:hAnsi="Arial" w:cs="Arial"/>
          <w:sz w:val="20"/>
          <w:szCs w:val="20"/>
        </w:rPr>
        <w:t xml:space="preserve"> not connected with the Group, as at 14 June 2012.</w:t>
      </w:r>
    </w:p>
    <w:p w:rsidR="00B44B33" w:rsidRPr="00DD509F" w:rsidRDefault="00B44B33" w:rsidP="00177AD8">
      <w:pPr>
        <w:jc w:val="both"/>
        <w:rPr>
          <w:rFonts w:ascii="Arial" w:hAnsi="Arial" w:cs="Arial"/>
          <w:sz w:val="20"/>
          <w:szCs w:val="20"/>
        </w:rPr>
      </w:pPr>
    </w:p>
    <w:p w:rsidR="00B44B33" w:rsidRPr="00DD509F" w:rsidRDefault="00B44B33" w:rsidP="00177AD8">
      <w:pPr>
        <w:tabs>
          <w:tab w:val="left" w:pos="634"/>
        </w:tabs>
        <w:jc w:val="both"/>
        <w:rPr>
          <w:rFonts w:ascii="Arial" w:hAnsi="Arial" w:cs="Arial"/>
          <w:b/>
          <w:bCs/>
          <w:i/>
          <w:iCs/>
          <w:sz w:val="20"/>
          <w:szCs w:val="20"/>
        </w:rPr>
      </w:pPr>
      <w:r w:rsidRPr="00DD509F">
        <w:rPr>
          <w:rFonts w:ascii="Arial" w:hAnsi="Arial" w:cs="Arial"/>
          <w:sz w:val="20"/>
          <w:szCs w:val="20"/>
        </w:rPr>
        <w:t xml:space="preserve">(3)  </w:t>
      </w:r>
      <w:r w:rsidRPr="00DD509F">
        <w:rPr>
          <w:rFonts w:ascii="Arial" w:hAnsi="Arial" w:cs="Arial"/>
          <w:b/>
          <w:bCs/>
          <w:i/>
          <w:iCs/>
          <w:sz w:val="20"/>
          <w:szCs w:val="20"/>
        </w:rPr>
        <w:t>Liabilities</w:t>
      </w:r>
    </w:p>
    <w:p w:rsidR="00B44B33" w:rsidRDefault="00B44B33" w:rsidP="00177AD8">
      <w:pPr>
        <w:rPr>
          <w:rFonts w:ascii="Arial" w:hAnsi="Arial" w:cs="Arial"/>
          <w:sz w:val="20"/>
          <w:szCs w:val="20"/>
        </w:rPr>
      </w:pPr>
      <w:r w:rsidRPr="00DD509F">
        <w:rPr>
          <w:rFonts w:ascii="Arial" w:hAnsi="Arial" w:cs="Arial"/>
          <w:sz w:val="20"/>
          <w:szCs w:val="20"/>
        </w:rPr>
        <w:t xml:space="preserve">The liability acquired relates to </w:t>
      </w:r>
      <w:r>
        <w:rPr>
          <w:rFonts w:ascii="Arial" w:hAnsi="Arial" w:cs="Arial"/>
          <w:sz w:val="20"/>
          <w:szCs w:val="20"/>
        </w:rPr>
        <w:t>liabilities due to Rangers Youth Development Ltd and Rangers.co.uk Limited, which as companies have now been dissolved, therefore the liabilities are no longer payable.</w:t>
      </w:r>
    </w:p>
    <w:p w:rsidR="00B44B33" w:rsidRDefault="00B44B33" w:rsidP="00177AD8">
      <w:pPr>
        <w:rPr>
          <w:rFonts w:ascii="Arial" w:hAnsi="Arial" w:cs="Arial"/>
          <w:sz w:val="20"/>
          <w:szCs w:val="20"/>
        </w:rPr>
      </w:pPr>
    </w:p>
    <w:p w:rsidR="00B44B33" w:rsidRPr="00DD509F" w:rsidRDefault="00B44B33" w:rsidP="00177AD8">
      <w:pPr>
        <w:rPr>
          <w:rFonts w:ascii="Arial" w:hAnsi="Arial" w:cs="Arial"/>
          <w:sz w:val="20"/>
          <w:szCs w:val="20"/>
        </w:rPr>
      </w:pPr>
    </w:p>
    <w:tbl>
      <w:tblPr>
        <w:tblW w:w="9639" w:type="dxa"/>
        <w:tblLayout w:type="fixed"/>
        <w:tblCellMar>
          <w:left w:w="0" w:type="dxa"/>
          <w:right w:w="0" w:type="dxa"/>
        </w:tblCellMar>
        <w:tblLook w:val="0000" w:firstRow="0" w:lastRow="0" w:firstColumn="0" w:lastColumn="0" w:noHBand="0" w:noVBand="0"/>
      </w:tblPr>
      <w:tblGrid>
        <w:gridCol w:w="5921"/>
        <w:gridCol w:w="33"/>
        <w:gridCol w:w="1248"/>
        <w:gridCol w:w="1282"/>
        <w:gridCol w:w="1155"/>
      </w:tblGrid>
      <w:tr w:rsidR="00B44B33" w:rsidRPr="00DD509F" w:rsidTr="00D465DD">
        <w:trPr>
          <w:trHeight w:hRule="exact" w:val="278"/>
        </w:trPr>
        <w:tc>
          <w:tcPr>
            <w:tcW w:w="7202" w:type="dxa"/>
            <w:gridSpan w:val="3"/>
            <w:tcBorders>
              <w:top w:val="nil"/>
              <w:left w:val="nil"/>
              <w:bottom w:val="nil"/>
              <w:right w:val="nil"/>
            </w:tcBorders>
          </w:tcPr>
          <w:p w:rsidR="00B44B33" w:rsidRDefault="00B44B33" w:rsidP="00177AD8">
            <w:pPr>
              <w:rPr>
                <w:rFonts w:ascii="Arial" w:hAnsi="Arial" w:cs="Arial"/>
                <w:spacing w:val="10"/>
                <w:sz w:val="20"/>
                <w:szCs w:val="20"/>
              </w:rPr>
            </w:pPr>
          </w:p>
          <w:p w:rsidR="00B44B33" w:rsidRPr="00DD509F" w:rsidRDefault="00000FC0" w:rsidP="00177AD8">
            <w:pPr>
              <w:rPr>
                <w:rFonts w:ascii="Arial" w:hAnsi="Arial" w:cs="Arial"/>
                <w:spacing w:val="10"/>
                <w:sz w:val="20"/>
                <w:szCs w:val="20"/>
              </w:rPr>
            </w:pPr>
            <w:r>
              <w:rPr>
                <w:noProof/>
                <w:lang w:val="en-GB"/>
              </w:rPr>
              <mc:AlternateContent>
                <mc:Choice Requires="wps">
                  <w:drawing>
                    <wp:anchor distT="0" distB="0" distL="0" distR="0" simplePos="0" relativeHeight="251659264" behindDoc="0" locked="0" layoutInCell="0" allowOverlap="1">
                      <wp:simplePos x="0" y="0"/>
                      <wp:positionH relativeFrom="page">
                        <wp:posOffset>848360</wp:posOffset>
                      </wp:positionH>
                      <wp:positionV relativeFrom="page">
                        <wp:posOffset>9948545</wp:posOffset>
                      </wp:positionV>
                      <wp:extent cx="5864860" cy="177165"/>
                      <wp:effectExtent l="0" t="0" r="2540" b="13335"/>
                      <wp:wrapThrough wrapText="bothSides">
                        <wp:wrapPolygon edited="0">
                          <wp:start x="0" y="0"/>
                          <wp:lineTo x="0" y="20903"/>
                          <wp:lineTo x="21539" y="20903"/>
                          <wp:lineTo x="21539" y="0"/>
                          <wp:lineTo x="0" y="0"/>
                        </wp:wrapPolygon>
                      </wp:wrapThrough>
                      <wp:docPr id="7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B33" w:rsidRDefault="00B44B33" w:rsidP="00196068">
                                  <w:pPr>
                                    <w:spacing w:before="36"/>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7" type="#_x0000_t202" style="position:absolute;margin-left:66.8pt;margin-top:783.35pt;width:461.8pt;height:13.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0n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" o:allowincell="f" filled="f" stroked="f">
                      <v:textbox inset="0,0,0,0">
                        <w:txbxContent>
                          <w:p w:rsidR="00B44B33" w:rsidRDefault="00B44B33" w:rsidP="00196068">
                            <w:pPr>
                              <w:spacing w:before="36"/>
                              <w:jc w:val="center"/>
                            </w:pPr>
                          </w:p>
                        </w:txbxContent>
                      </v:textbox>
                      <w10:wrap type="through" anchorx="page" anchory="page"/>
                    </v:shape>
                  </w:pict>
                </mc:Fallback>
              </mc:AlternateContent>
            </w:r>
          </w:p>
        </w:tc>
        <w:tc>
          <w:tcPr>
            <w:tcW w:w="1282" w:type="dxa"/>
            <w:tcBorders>
              <w:top w:val="nil"/>
              <w:left w:val="nil"/>
              <w:bottom w:val="nil"/>
              <w:right w:val="nil"/>
            </w:tcBorders>
          </w:tcPr>
          <w:p w:rsidR="00B44B33" w:rsidRPr="00DD509F" w:rsidRDefault="00B44B33" w:rsidP="00177AD8">
            <w:pPr>
              <w:rPr>
                <w:rFonts w:ascii="Arial" w:hAnsi="Arial" w:cs="Arial"/>
                <w:sz w:val="20"/>
                <w:szCs w:val="20"/>
              </w:rPr>
            </w:pPr>
          </w:p>
        </w:tc>
        <w:tc>
          <w:tcPr>
            <w:tcW w:w="1155" w:type="dxa"/>
            <w:tcBorders>
              <w:top w:val="nil"/>
              <w:left w:val="nil"/>
              <w:bottom w:val="nil"/>
              <w:right w:val="nil"/>
            </w:tcBorders>
          </w:tcPr>
          <w:p w:rsidR="00B44B33" w:rsidRPr="00DD509F" w:rsidRDefault="00B44B33" w:rsidP="00177AD8">
            <w:pPr>
              <w:rPr>
                <w:rFonts w:ascii="Arial" w:hAnsi="Arial" w:cs="Arial"/>
                <w:sz w:val="20"/>
                <w:szCs w:val="20"/>
              </w:rPr>
            </w:pPr>
          </w:p>
        </w:tc>
      </w:tr>
      <w:tr w:rsidR="00B44B33" w:rsidRPr="00DD509F" w:rsidTr="00D465DD">
        <w:trPr>
          <w:trHeight w:hRule="exact" w:val="360"/>
        </w:trPr>
        <w:tc>
          <w:tcPr>
            <w:tcW w:w="7202" w:type="dxa"/>
            <w:gridSpan w:val="3"/>
            <w:tcBorders>
              <w:top w:val="nil"/>
              <w:left w:val="nil"/>
              <w:bottom w:val="nil"/>
              <w:right w:val="nil"/>
            </w:tcBorders>
          </w:tcPr>
          <w:p w:rsidR="00B44B33" w:rsidRPr="00DD509F" w:rsidRDefault="00B44B33" w:rsidP="00177AD8">
            <w:pPr>
              <w:tabs>
                <w:tab w:val="left" w:pos="522"/>
              </w:tabs>
              <w:rPr>
                <w:rFonts w:ascii="Arial" w:hAnsi="Arial" w:cs="Arial"/>
                <w:b/>
                <w:bCs/>
                <w:sz w:val="20"/>
                <w:szCs w:val="20"/>
              </w:rPr>
            </w:pPr>
            <w:r w:rsidRPr="00DD509F">
              <w:rPr>
                <w:rFonts w:ascii="Arial" w:hAnsi="Arial" w:cs="Arial"/>
                <w:b/>
                <w:bCs/>
                <w:sz w:val="20"/>
                <w:szCs w:val="20"/>
              </w:rPr>
              <w:t>8.</w:t>
            </w:r>
            <w:r w:rsidRPr="00DD509F">
              <w:rPr>
                <w:rFonts w:ascii="Arial" w:hAnsi="Arial" w:cs="Arial"/>
                <w:b/>
                <w:bCs/>
                <w:sz w:val="20"/>
                <w:szCs w:val="20"/>
              </w:rPr>
              <w:tab/>
              <w:t>Non</w:t>
            </w:r>
            <w:r>
              <w:rPr>
                <w:rFonts w:ascii="Arial" w:hAnsi="Arial" w:cs="Arial"/>
                <w:b/>
                <w:bCs/>
                <w:sz w:val="20"/>
                <w:szCs w:val="20"/>
              </w:rPr>
              <w:t>-</w:t>
            </w:r>
            <w:r w:rsidRPr="00DD509F">
              <w:rPr>
                <w:rFonts w:ascii="Arial" w:hAnsi="Arial" w:cs="Arial"/>
                <w:b/>
                <w:bCs/>
                <w:sz w:val="20"/>
                <w:szCs w:val="20"/>
              </w:rPr>
              <w:t>Current Assets – Property, Plant and Equipment</w:t>
            </w:r>
          </w:p>
        </w:tc>
        <w:tc>
          <w:tcPr>
            <w:tcW w:w="1282" w:type="dxa"/>
            <w:tcBorders>
              <w:top w:val="nil"/>
              <w:left w:val="nil"/>
              <w:bottom w:val="nil"/>
              <w:right w:val="nil"/>
            </w:tcBorders>
          </w:tcPr>
          <w:p w:rsidR="00B44B33" w:rsidRPr="00DD509F" w:rsidRDefault="00B44B33" w:rsidP="00177AD8">
            <w:pPr>
              <w:rPr>
                <w:rFonts w:ascii="Arial" w:hAnsi="Arial" w:cs="Arial"/>
                <w:sz w:val="20"/>
                <w:szCs w:val="20"/>
              </w:rPr>
            </w:pPr>
          </w:p>
        </w:tc>
        <w:tc>
          <w:tcPr>
            <w:tcW w:w="1155" w:type="dxa"/>
            <w:tcBorders>
              <w:top w:val="nil"/>
              <w:left w:val="nil"/>
              <w:bottom w:val="nil"/>
              <w:right w:val="nil"/>
            </w:tcBorders>
          </w:tcPr>
          <w:p w:rsidR="00B44B33" w:rsidRPr="00DD509F" w:rsidRDefault="00B44B33" w:rsidP="00177AD8">
            <w:pPr>
              <w:rPr>
                <w:rFonts w:ascii="Arial" w:hAnsi="Arial" w:cs="Arial"/>
                <w:sz w:val="20"/>
                <w:szCs w:val="20"/>
              </w:rPr>
            </w:pPr>
          </w:p>
        </w:tc>
      </w:tr>
      <w:tr w:rsidR="00B44B33" w:rsidRPr="00DD509F" w:rsidTr="00D465DD">
        <w:trPr>
          <w:trHeight w:hRule="exact" w:val="658"/>
        </w:trPr>
        <w:tc>
          <w:tcPr>
            <w:tcW w:w="5921" w:type="dxa"/>
            <w:tcBorders>
              <w:top w:val="nil"/>
              <w:left w:val="nil"/>
              <w:bottom w:val="nil"/>
              <w:right w:val="nil"/>
            </w:tcBorders>
          </w:tcPr>
          <w:p w:rsidR="00B44B33" w:rsidRPr="00DD509F" w:rsidRDefault="00B44B33" w:rsidP="00177AD8">
            <w:pPr>
              <w:rPr>
                <w:rFonts w:ascii="Arial" w:hAnsi="Arial" w:cs="Arial"/>
                <w:sz w:val="20"/>
                <w:szCs w:val="20"/>
              </w:rPr>
            </w:pPr>
          </w:p>
        </w:tc>
        <w:tc>
          <w:tcPr>
            <w:tcW w:w="1281" w:type="dxa"/>
            <w:gridSpan w:val="2"/>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Freehold</w:t>
            </w:r>
          </w:p>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Properties</w:t>
            </w:r>
          </w:p>
        </w:tc>
        <w:tc>
          <w:tcPr>
            <w:tcW w:w="1282" w:type="dxa"/>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Fixtures</w:t>
            </w:r>
          </w:p>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and</w:t>
            </w:r>
          </w:p>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Fittings</w:t>
            </w:r>
          </w:p>
        </w:tc>
        <w:tc>
          <w:tcPr>
            <w:tcW w:w="1155" w:type="dxa"/>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Total</w:t>
            </w:r>
          </w:p>
        </w:tc>
      </w:tr>
      <w:tr w:rsidR="00B44B33" w:rsidRPr="00DD509F" w:rsidTr="00D465DD">
        <w:trPr>
          <w:trHeight w:hRule="exact" w:val="211"/>
        </w:trPr>
        <w:tc>
          <w:tcPr>
            <w:tcW w:w="5921" w:type="dxa"/>
            <w:tcBorders>
              <w:top w:val="nil"/>
              <w:left w:val="nil"/>
              <w:bottom w:val="nil"/>
              <w:right w:val="nil"/>
            </w:tcBorders>
          </w:tcPr>
          <w:p w:rsidR="00B44B33" w:rsidRPr="00DD509F" w:rsidRDefault="00B44B33" w:rsidP="00177AD8">
            <w:pPr>
              <w:rPr>
                <w:rFonts w:ascii="Arial" w:hAnsi="Arial" w:cs="Arial"/>
                <w:sz w:val="20"/>
                <w:szCs w:val="20"/>
              </w:rPr>
            </w:pPr>
            <w:r>
              <w:rPr>
                <w:rFonts w:ascii="Arial" w:hAnsi="Arial" w:cs="Arial"/>
                <w:sz w:val="20"/>
                <w:szCs w:val="20"/>
              </w:rPr>
              <w:t>Cost:</w:t>
            </w:r>
          </w:p>
        </w:tc>
        <w:tc>
          <w:tcPr>
            <w:tcW w:w="1281" w:type="dxa"/>
            <w:gridSpan w:val="2"/>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£’000</w:t>
            </w:r>
          </w:p>
        </w:tc>
        <w:tc>
          <w:tcPr>
            <w:tcW w:w="1282" w:type="dxa"/>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£’000</w:t>
            </w:r>
          </w:p>
        </w:tc>
        <w:tc>
          <w:tcPr>
            <w:tcW w:w="1155" w:type="dxa"/>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£’000</w:t>
            </w:r>
          </w:p>
        </w:tc>
      </w:tr>
      <w:tr w:rsidR="00B44B33" w:rsidRPr="00DD509F" w:rsidTr="00D465DD">
        <w:trPr>
          <w:trHeight w:hRule="exact" w:val="288"/>
        </w:trPr>
        <w:tc>
          <w:tcPr>
            <w:tcW w:w="5921"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At incorporation</w:t>
            </w:r>
          </w:p>
        </w:tc>
        <w:tc>
          <w:tcPr>
            <w:tcW w:w="1281" w:type="dxa"/>
            <w:gridSpan w:val="2"/>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282"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155"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r>
      <w:tr w:rsidR="00B44B33" w:rsidRPr="00DD509F" w:rsidTr="00D465DD">
        <w:trPr>
          <w:trHeight w:hRule="exact" w:val="264"/>
        </w:trPr>
        <w:tc>
          <w:tcPr>
            <w:tcW w:w="5921"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Acquisition (see note 7)</w:t>
            </w:r>
          </w:p>
        </w:tc>
        <w:tc>
          <w:tcPr>
            <w:tcW w:w="1281" w:type="dxa"/>
            <w:gridSpan w:val="2"/>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6,500</w:t>
            </w:r>
          </w:p>
        </w:tc>
        <w:tc>
          <w:tcPr>
            <w:tcW w:w="1282"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1,470</w:t>
            </w:r>
          </w:p>
        </w:tc>
        <w:tc>
          <w:tcPr>
            <w:tcW w:w="1155"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7,970</w:t>
            </w:r>
          </w:p>
        </w:tc>
      </w:tr>
      <w:tr w:rsidR="00B44B33" w:rsidRPr="00DD509F" w:rsidTr="00D465DD">
        <w:trPr>
          <w:trHeight w:hRule="exact" w:val="255"/>
        </w:trPr>
        <w:tc>
          <w:tcPr>
            <w:tcW w:w="5921"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Additions</w:t>
            </w:r>
          </w:p>
        </w:tc>
        <w:tc>
          <w:tcPr>
            <w:tcW w:w="1281" w:type="dxa"/>
            <w:gridSpan w:val="2"/>
            <w:tcBorders>
              <w:top w:val="nil"/>
              <w:left w:val="nil"/>
              <w:bottom w:val="nil"/>
              <w:right w:val="nil"/>
            </w:tcBorders>
          </w:tcPr>
          <w:p w:rsidR="00B44B33" w:rsidRDefault="00B44B33" w:rsidP="00AE07D8">
            <w:pPr>
              <w:jc w:val="right"/>
              <w:rPr>
                <w:rFonts w:ascii="Arial" w:hAnsi="Arial" w:cs="Arial"/>
                <w:sz w:val="20"/>
                <w:szCs w:val="20"/>
              </w:rPr>
            </w:pPr>
            <w:r w:rsidRPr="00DD509F">
              <w:rPr>
                <w:rFonts w:ascii="Arial" w:hAnsi="Arial" w:cs="Arial"/>
                <w:sz w:val="20"/>
                <w:szCs w:val="20"/>
              </w:rPr>
              <w:t>—</w:t>
            </w:r>
          </w:p>
        </w:tc>
        <w:tc>
          <w:tcPr>
            <w:tcW w:w="1282"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2,161</w:t>
            </w:r>
          </w:p>
        </w:tc>
        <w:tc>
          <w:tcPr>
            <w:tcW w:w="1155"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2,161</w:t>
            </w:r>
          </w:p>
        </w:tc>
      </w:tr>
      <w:tr w:rsidR="00B44B33" w:rsidRPr="00DD509F" w:rsidTr="00D465DD">
        <w:trPr>
          <w:trHeight w:hRule="exact" w:val="312"/>
        </w:trPr>
        <w:tc>
          <w:tcPr>
            <w:tcW w:w="5921"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Revaluations (see note 14)</w:t>
            </w:r>
          </w:p>
        </w:tc>
        <w:tc>
          <w:tcPr>
            <w:tcW w:w="1281" w:type="dxa"/>
            <w:gridSpan w:val="2"/>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33,988</w:t>
            </w:r>
          </w:p>
        </w:tc>
        <w:tc>
          <w:tcPr>
            <w:tcW w:w="1282"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155"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pacing w:val="-2"/>
                <w:sz w:val="20"/>
                <w:szCs w:val="20"/>
              </w:rPr>
              <w:t>33,988</w:t>
            </w:r>
          </w:p>
        </w:tc>
      </w:tr>
      <w:tr w:rsidR="00B44B33" w:rsidRPr="00DD509F" w:rsidTr="00D465DD">
        <w:trPr>
          <w:trHeight w:hRule="exact" w:val="393"/>
        </w:trPr>
        <w:tc>
          <w:tcPr>
            <w:tcW w:w="5921"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At 31 December 2012</w:t>
            </w:r>
          </w:p>
        </w:tc>
        <w:tc>
          <w:tcPr>
            <w:tcW w:w="1281" w:type="dxa"/>
            <w:gridSpan w:val="2"/>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40,488</w:t>
            </w:r>
          </w:p>
        </w:tc>
        <w:tc>
          <w:tcPr>
            <w:tcW w:w="1282"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3,631</w:t>
            </w:r>
          </w:p>
        </w:tc>
        <w:tc>
          <w:tcPr>
            <w:tcW w:w="1155"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pacing w:val="-2"/>
                <w:sz w:val="20"/>
                <w:szCs w:val="20"/>
              </w:rPr>
              <w:t>44,119</w:t>
            </w:r>
          </w:p>
        </w:tc>
      </w:tr>
      <w:tr w:rsidR="00B44B33" w:rsidRPr="00DD509F" w:rsidTr="00596536">
        <w:tblPrEx>
          <w:tblCellMar>
            <w:left w:w="108" w:type="dxa"/>
            <w:right w:w="108" w:type="dxa"/>
          </w:tblCellMar>
        </w:tblPrEx>
        <w:trPr>
          <w:trHeight w:hRule="exact" w:val="322"/>
        </w:trPr>
        <w:tc>
          <w:tcPr>
            <w:tcW w:w="5921" w:type="dxa"/>
          </w:tcPr>
          <w:p w:rsidR="00B44B33" w:rsidRPr="00DD509F" w:rsidRDefault="00B44B33" w:rsidP="00177AD8">
            <w:pPr>
              <w:rPr>
                <w:rFonts w:ascii="Arial" w:hAnsi="Arial" w:cs="Arial"/>
                <w:sz w:val="20"/>
                <w:szCs w:val="20"/>
              </w:rPr>
            </w:pPr>
            <w:r>
              <w:rPr>
                <w:rFonts w:ascii="Arial" w:hAnsi="Arial" w:cs="Arial"/>
                <w:sz w:val="20"/>
                <w:szCs w:val="20"/>
              </w:rPr>
              <w:t>Depreciation:</w:t>
            </w:r>
          </w:p>
        </w:tc>
        <w:tc>
          <w:tcPr>
            <w:tcW w:w="1281" w:type="dxa"/>
            <w:gridSpan w:val="2"/>
          </w:tcPr>
          <w:p w:rsidR="00B44B33" w:rsidRPr="00DD509F" w:rsidRDefault="00B44B33" w:rsidP="00177AD8">
            <w:pPr>
              <w:jc w:val="right"/>
              <w:rPr>
                <w:rFonts w:ascii="Arial" w:hAnsi="Arial" w:cs="Arial"/>
                <w:sz w:val="20"/>
                <w:szCs w:val="20"/>
              </w:rPr>
            </w:pPr>
          </w:p>
        </w:tc>
        <w:tc>
          <w:tcPr>
            <w:tcW w:w="1282" w:type="dxa"/>
          </w:tcPr>
          <w:p w:rsidR="00B44B33" w:rsidRPr="00DD509F" w:rsidRDefault="00B44B33" w:rsidP="00177AD8">
            <w:pPr>
              <w:jc w:val="right"/>
              <w:rPr>
                <w:rFonts w:ascii="Arial" w:hAnsi="Arial" w:cs="Arial"/>
                <w:sz w:val="20"/>
                <w:szCs w:val="20"/>
              </w:rPr>
            </w:pPr>
          </w:p>
        </w:tc>
        <w:tc>
          <w:tcPr>
            <w:tcW w:w="1155" w:type="dxa"/>
          </w:tcPr>
          <w:p w:rsidR="00B44B33" w:rsidRPr="00DD509F" w:rsidRDefault="00B44B33" w:rsidP="00177AD8">
            <w:pPr>
              <w:jc w:val="right"/>
              <w:rPr>
                <w:rFonts w:ascii="Arial" w:hAnsi="Arial" w:cs="Arial"/>
                <w:sz w:val="20"/>
                <w:szCs w:val="20"/>
              </w:rPr>
            </w:pPr>
          </w:p>
        </w:tc>
      </w:tr>
      <w:tr w:rsidR="00B44B33" w:rsidRPr="00DD509F" w:rsidTr="003B3629">
        <w:tblPrEx>
          <w:tblCellMar>
            <w:left w:w="108" w:type="dxa"/>
            <w:right w:w="108" w:type="dxa"/>
          </w:tblCellMar>
        </w:tblPrEx>
        <w:trPr>
          <w:trHeight w:hRule="exact" w:val="254"/>
        </w:trPr>
        <w:tc>
          <w:tcPr>
            <w:tcW w:w="5921" w:type="dxa"/>
          </w:tcPr>
          <w:p w:rsidR="00B44B33" w:rsidRPr="00DD509F" w:rsidRDefault="00B44B33" w:rsidP="00177AD8">
            <w:pPr>
              <w:rPr>
                <w:rFonts w:ascii="Arial" w:hAnsi="Arial" w:cs="Arial"/>
                <w:sz w:val="20"/>
                <w:szCs w:val="20"/>
              </w:rPr>
            </w:pPr>
            <w:r>
              <w:rPr>
                <w:rFonts w:ascii="Arial" w:hAnsi="Arial" w:cs="Arial"/>
                <w:sz w:val="20"/>
                <w:szCs w:val="20"/>
              </w:rPr>
              <w:t>At</w:t>
            </w:r>
            <w:r w:rsidRPr="00DD509F">
              <w:rPr>
                <w:rFonts w:ascii="Arial" w:hAnsi="Arial" w:cs="Arial"/>
                <w:sz w:val="20"/>
                <w:szCs w:val="20"/>
              </w:rPr>
              <w:t xml:space="preserve"> incorporation</w:t>
            </w:r>
          </w:p>
        </w:tc>
        <w:tc>
          <w:tcPr>
            <w:tcW w:w="1281" w:type="dxa"/>
            <w:gridSpan w:val="2"/>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282" w:type="dxa"/>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155" w:type="dxa"/>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r>
      <w:tr w:rsidR="00B44B33" w:rsidRPr="00DD509F" w:rsidTr="003B3629">
        <w:tblPrEx>
          <w:tblCellMar>
            <w:left w:w="108" w:type="dxa"/>
            <w:right w:w="108" w:type="dxa"/>
          </w:tblCellMar>
        </w:tblPrEx>
        <w:trPr>
          <w:trHeight w:hRule="exact" w:val="399"/>
        </w:trPr>
        <w:tc>
          <w:tcPr>
            <w:tcW w:w="5921" w:type="dxa"/>
          </w:tcPr>
          <w:p w:rsidR="00B44B33" w:rsidRPr="00DD509F" w:rsidRDefault="00B44B33" w:rsidP="00177AD8">
            <w:pPr>
              <w:rPr>
                <w:rFonts w:ascii="Arial" w:hAnsi="Arial" w:cs="Arial"/>
                <w:sz w:val="20"/>
                <w:szCs w:val="20"/>
              </w:rPr>
            </w:pPr>
            <w:r>
              <w:rPr>
                <w:rFonts w:ascii="Arial" w:hAnsi="Arial" w:cs="Arial"/>
                <w:sz w:val="20"/>
                <w:szCs w:val="20"/>
              </w:rPr>
              <w:t>Charge for period</w:t>
            </w:r>
          </w:p>
        </w:tc>
        <w:tc>
          <w:tcPr>
            <w:tcW w:w="1281" w:type="dxa"/>
            <w:gridSpan w:val="2"/>
            <w:tcBorders>
              <w:bottom w:val="single" w:sz="4" w:space="0" w:color="auto"/>
            </w:tcBorders>
          </w:tcPr>
          <w:p w:rsidR="00B44B33" w:rsidRPr="00DD509F" w:rsidRDefault="00B44B33" w:rsidP="00177AD8">
            <w:pPr>
              <w:jc w:val="right"/>
              <w:rPr>
                <w:rFonts w:ascii="Arial" w:hAnsi="Arial" w:cs="Arial"/>
                <w:sz w:val="20"/>
                <w:szCs w:val="20"/>
              </w:rPr>
            </w:pPr>
            <w:r>
              <w:rPr>
                <w:rFonts w:ascii="Arial" w:hAnsi="Arial" w:cs="Arial"/>
                <w:sz w:val="20"/>
                <w:szCs w:val="20"/>
              </w:rPr>
              <w:t>223</w:t>
            </w:r>
          </w:p>
        </w:tc>
        <w:tc>
          <w:tcPr>
            <w:tcW w:w="1282" w:type="dxa"/>
            <w:tcBorders>
              <w:bottom w:val="single" w:sz="4" w:space="0" w:color="auto"/>
            </w:tcBorders>
          </w:tcPr>
          <w:p w:rsidR="00B44B33" w:rsidRPr="00DD509F" w:rsidRDefault="00B44B33" w:rsidP="00177AD8">
            <w:pPr>
              <w:jc w:val="right"/>
              <w:rPr>
                <w:rFonts w:ascii="Arial" w:hAnsi="Arial" w:cs="Arial"/>
                <w:sz w:val="20"/>
                <w:szCs w:val="20"/>
              </w:rPr>
            </w:pPr>
            <w:r>
              <w:rPr>
                <w:rFonts w:ascii="Arial" w:hAnsi="Arial" w:cs="Arial"/>
                <w:sz w:val="20"/>
                <w:szCs w:val="20"/>
              </w:rPr>
              <w:t>126</w:t>
            </w:r>
          </w:p>
        </w:tc>
        <w:tc>
          <w:tcPr>
            <w:tcW w:w="1155" w:type="dxa"/>
            <w:tcBorders>
              <w:bottom w:val="single" w:sz="4" w:space="0" w:color="auto"/>
            </w:tcBorders>
          </w:tcPr>
          <w:p w:rsidR="00B44B33" w:rsidRPr="00DD509F" w:rsidRDefault="00B44B33" w:rsidP="00177AD8">
            <w:pPr>
              <w:jc w:val="right"/>
              <w:rPr>
                <w:rFonts w:ascii="Arial" w:hAnsi="Arial" w:cs="Arial"/>
                <w:sz w:val="20"/>
                <w:szCs w:val="20"/>
              </w:rPr>
            </w:pPr>
            <w:r>
              <w:rPr>
                <w:rFonts w:ascii="Arial" w:hAnsi="Arial" w:cs="Arial"/>
                <w:sz w:val="20"/>
                <w:szCs w:val="20"/>
              </w:rPr>
              <w:t>349</w:t>
            </w:r>
          </w:p>
        </w:tc>
      </w:tr>
      <w:tr w:rsidR="00B44B33" w:rsidRPr="00DD509F" w:rsidTr="003B3629">
        <w:tblPrEx>
          <w:tblCellMar>
            <w:left w:w="108" w:type="dxa"/>
            <w:right w:w="108" w:type="dxa"/>
          </w:tblCellMar>
        </w:tblPrEx>
        <w:trPr>
          <w:trHeight w:hRule="exact" w:val="399"/>
        </w:trPr>
        <w:tc>
          <w:tcPr>
            <w:tcW w:w="5921" w:type="dxa"/>
          </w:tcPr>
          <w:p w:rsidR="00B44B33" w:rsidRPr="00DD509F" w:rsidRDefault="00B44B33" w:rsidP="00177AD8">
            <w:pPr>
              <w:rPr>
                <w:rFonts w:ascii="Arial" w:hAnsi="Arial" w:cs="Arial"/>
                <w:sz w:val="20"/>
                <w:szCs w:val="20"/>
              </w:rPr>
            </w:pPr>
            <w:r w:rsidRPr="00DD509F">
              <w:rPr>
                <w:rFonts w:ascii="Arial" w:hAnsi="Arial" w:cs="Arial"/>
                <w:sz w:val="20"/>
                <w:szCs w:val="20"/>
              </w:rPr>
              <w:t>At 31 December 2012</w:t>
            </w:r>
          </w:p>
        </w:tc>
        <w:tc>
          <w:tcPr>
            <w:tcW w:w="1281" w:type="dxa"/>
            <w:gridSpan w:val="2"/>
            <w:tcBorders>
              <w:top w:val="single" w:sz="4"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223</w:t>
            </w:r>
          </w:p>
        </w:tc>
        <w:tc>
          <w:tcPr>
            <w:tcW w:w="1282" w:type="dxa"/>
            <w:tcBorders>
              <w:top w:val="single" w:sz="4"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126</w:t>
            </w:r>
          </w:p>
        </w:tc>
        <w:tc>
          <w:tcPr>
            <w:tcW w:w="1155" w:type="dxa"/>
            <w:tcBorders>
              <w:top w:val="single" w:sz="4"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349</w:t>
            </w:r>
          </w:p>
        </w:tc>
      </w:tr>
      <w:tr w:rsidR="00B44B33" w:rsidRPr="00DD509F" w:rsidTr="0098582C">
        <w:tblPrEx>
          <w:tblCellMar>
            <w:left w:w="108" w:type="dxa"/>
            <w:right w:w="108" w:type="dxa"/>
          </w:tblCellMar>
        </w:tblPrEx>
        <w:trPr>
          <w:trHeight w:hRule="exact" w:val="365"/>
        </w:trPr>
        <w:tc>
          <w:tcPr>
            <w:tcW w:w="5921" w:type="dxa"/>
          </w:tcPr>
          <w:p w:rsidR="00B44B33" w:rsidRPr="00DD509F" w:rsidRDefault="00B44B33" w:rsidP="00177AD8">
            <w:pPr>
              <w:rPr>
                <w:rFonts w:ascii="Arial" w:hAnsi="Arial" w:cs="Arial"/>
                <w:sz w:val="20"/>
                <w:szCs w:val="20"/>
              </w:rPr>
            </w:pPr>
            <w:r w:rsidRPr="00DD509F">
              <w:rPr>
                <w:rFonts w:ascii="Arial" w:hAnsi="Arial" w:cs="Arial"/>
                <w:sz w:val="20"/>
                <w:szCs w:val="20"/>
              </w:rPr>
              <w:t>Net book value at incorporation</w:t>
            </w:r>
          </w:p>
        </w:tc>
        <w:tc>
          <w:tcPr>
            <w:tcW w:w="1281" w:type="dxa"/>
            <w:gridSpan w:val="2"/>
            <w:tcBorders>
              <w:top w:val="single" w:sz="2" w:space="0" w:color="auto"/>
              <w:bottom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282" w:type="dxa"/>
            <w:tcBorders>
              <w:top w:val="single" w:sz="2" w:space="0" w:color="auto"/>
              <w:bottom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155" w:type="dxa"/>
            <w:tcBorders>
              <w:top w:val="single" w:sz="2" w:space="0" w:color="auto"/>
              <w:bottom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r>
      <w:tr w:rsidR="00B44B33" w:rsidRPr="00DD509F" w:rsidTr="0098582C">
        <w:tblPrEx>
          <w:tblCellMar>
            <w:left w:w="108" w:type="dxa"/>
            <w:right w:w="108" w:type="dxa"/>
          </w:tblCellMar>
        </w:tblPrEx>
        <w:trPr>
          <w:trHeight w:hRule="exact" w:val="393"/>
        </w:trPr>
        <w:tc>
          <w:tcPr>
            <w:tcW w:w="5921" w:type="dxa"/>
          </w:tcPr>
          <w:p w:rsidR="00B44B33" w:rsidRPr="00DD509F" w:rsidRDefault="00B44B33" w:rsidP="00177AD8">
            <w:pPr>
              <w:rPr>
                <w:rFonts w:ascii="Arial" w:hAnsi="Arial" w:cs="Arial"/>
                <w:sz w:val="20"/>
                <w:szCs w:val="20"/>
              </w:rPr>
            </w:pPr>
            <w:r w:rsidRPr="00DD509F">
              <w:rPr>
                <w:rFonts w:ascii="Arial" w:hAnsi="Arial" w:cs="Arial"/>
                <w:sz w:val="20"/>
                <w:szCs w:val="20"/>
              </w:rPr>
              <w:t>Net book value 31 December 2012</w:t>
            </w:r>
          </w:p>
        </w:tc>
        <w:tc>
          <w:tcPr>
            <w:tcW w:w="1281" w:type="dxa"/>
            <w:gridSpan w:val="2"/>
            <w:tcBorders>
              <w:top w:val="single" w:sz="2" w:space="0" w:color="auto"/>
              <w:bottom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40,265</w:t>
            </w:r>
          </w:p>
        </w:tc>
        <w:tc>
          <w:tcPr>
            <w:tcW w:w="1282" w:type="dxa"/>
            <w:tcBorders>
              <w:top w:val="single" w:sz="2" w:space="0" w:color="auto"/>
              <w:bottom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3,505</w:t>
            </w:r>
          </w:p>
        </w:tc>
        <w:tc>
          <w:tcPr>
            <w:tcW w:w="1155" w:type="dxa"/>
            <w:tcBorders>
              <w:top w:val="single" w:sz="2" w:space="0" w:color="auto"/>
              <w:bottom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pacing w:val="-2"/>
                <w:sz w:val="20"/>
                <w:szCs w:val="20"/>
              </w:rPr>
              <w:t>43,770</w:t>
            </w:r>
          </w:p>
        </w:tc>
      </w:tr>
      <w:tr w:rsidR="00B44B33" w:rsidRPr="00DD509F" w:rsidTr="0098582C">
        <w:tblPrEx>
          <w:tblCellMar>
            <w:left w:w="108" w:type="dxa"/>
            <w:right w:w="108" w:type="dxa"/>
          </w:tblCellMar>
        </w:tblPrEx>
        <w:trPr>
          <w:trHeight w:hRule="exact" w:val="269"/>
        </w:trPr>
        <w:tc>
          <w:tcPr>
            <w:tcW w:w="8484" w:type="dxa"/>
            <w:gridSpan w:val="4"/>
          </w:tcPr>
          <w:p w:rsidR="00B44B33" w:rsidRPr="00DD509F" w:rsidRDefault="00B44B33" w:rsidP="00177AD8">
            <w:pPr>
              <w:rPr>
                <w:rFonts w:ascii="Arial" w:hAnsi="Arial" w:cs="Arial"/>
                <w:sz w:val="20"/>
                <w:szCs w:val="20"/>
              </w:rPr>
            </w:pPr>
            <w:r w:rsidRPr="00DD509F">
              <w:rPr>
                <w:rFonts w:ascii="Arial" w:hAnsi="Arial" w:cs="Arial"/>
                <w:sz w:val="20"/>
                <w:szCs w:val="20"/>
              </w:rPr>
              <w:t>Amounts</w:t>
            </w:r>
            <w:r>
              <w:rPr>
                <w:rFonts w:ascii="Arial" w:hAnsi="Arial" w:cs="Arial"/>
                <w:sz w:val="20"/>
                <w:szCs w:val="20"/>
              </w:rPr>
              <w:t xml:space="preserve"> in respect of assets of the</w:t>
            </w:r>
            <w:r w:rsidRPr="00DD509F">
              <w:rPr>
                <w:rFonts w:ascii="Arial" w:hAnsi="Arial" w:cs="Arial"/>
                <w:sz w:val="20"/>
                <w:szCs w:val="20"/>
              </w:rPr>
              <w:t xml:space="preserve"> Group held under finance leases are as follows:</w:t>
            </w:r>
          </w:p>
        </w:tc>
        <w:tc>
          <w:tcPr>
            <w:tcW w:w="1155" w:type="dxa"/>
            <w:vMerge w:val="restart"/>
            <w:tcBorders>
              <w:top w:val="single" w:sz="2" w:space="0" w:color="auto"/>
            </w:tcBorders>
          </w:tcPr>
          <w:p w:rsidR="00B44B33" w:rsidRDefault="00B44B33" w:rsidP="00177AD8">
            <w:pPr>
              <w:jc w:val="right"/>
              <w:rPr>
                <w:rFonts w:ascii="Arial" w:hAnsi="Arial" w:cs="Arial"/>
                <w:sz w:val="20"/>
                <w:szCs w:val="20"/>
              </w:rPr>
            </w:pPr>
          </w:p>
          <w:p w:rsidR="00B44B33" w:rsidRPr="00DD509F" w:rsidRDefault="00B44B33" w:rsidP="00177AD8">
            <w:pPr>
              <w:jc w:val="right"/>
              <w:rPr>
                <w:rFonts w:ascii="Arial" w:hAnsi="Arial" w:cs="Arial"/>
                <w:sz w:val="20"/>
                <w:szCs w:val="20"/>
              </w:rPr>
            </w:pPr>
            <w:r w:rsidRPr="00DD509F">
              <w:rPr>
                <w:rFonts w:ascii="Arial" w:hAnsi="Arial" w:cs="Arial"/>
                <w:sz w:val="20"/>
                <w:szCs w:val="20"/>
              </w:rPr>
              <w:t>2,161</w:t>
            </w:r>
          </w:p>
        </w:tc>
      </w:tr>
      <w:tr w:rsidR="00B44B33" w:rsidRPr="00DD509F" w:rsidTr="00D465DD">
        <w:tblPrEx>
          <w:tblCellMar>
            <w:left w:w="108" w:type="dxa"/>
            <w:right w:w="108" w:type="dxa"/>
          </w:tblCellMar>
        </w:tblPrEx>
        <w:trPr>
          <w:trHeight w:hRule="exact" w:val="235"/>
        </w:trPr>
        <w:tc>
          <w:tcPr>
            <w:tcW w:w="5954" w:type="dxa"/>
            <w:gridSpan w:val="2"/>
          </w:tcPr>
          <w:p w:rsidR="00B44B33" w:rsidRPr="00DD509F" w:rsidRDefault="00B44B33" w:rsidP="00177AD8">
            <w:pPr>
              <w:rPr>
                <w:rFonts w:ascii="Arial" w:hAnsi="Arial" w:cs="Arial"/>
                <w:sz w:val="20"/>
                <w:szCs w:val="20"/>
              </w:rPr>
            </w:pPr>
            <w:r w:rsidRPr="00DD509F">
              <w:rPr>
                <w:rFonts w:ascii="Arial" w:hAnsi="Arial" w:cs="Arial"/>
                <w:sz w:val="20"/>
                <w:szCs w:val="20"/>
              </w:rPr>
              <w:t>Net book value at 31 December 2012</w:t>
            </w:r>
          </w:p>
        </w:tc>
        <w:tc>
          <w:tcPr>
            <w:tcW w:w="1248" w:type="dxa"/>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282" w:type="dxa"/>
          </w:tcPr>
          <w:p w:rsidR="00B44B33" w:rsidRPr="00DD509F" w:rsidRDefault="00B44B33" w:rsidP="00177AD8">
            <w:pPr>
              <w:jc w:val="right"/>
              <w:rPr>
                <w:rFonts w:ascii="Arial" w:hAnsi="Arial" w:cs="Arial"/>
                <w:sz w:val="20"/>
                <w:szCs w:val="20"/>
              </w:rPr>
            </w:pPr>
            <w:r w:rsidRPr="00DD509F">
              <w:rPr>
                <w:rFonts w:ascii="Arial" w:hAnsi="Arial" w:cs="Arial"/>
                <w:sz w:val="20"/>
                <w:szCs w:val="20"/>
              </w:rPr>
              <w:t>2,1</w:t>
            </w:r>
            <w:r>
              <w:rPr>
                <w:rFonts w:ascii="Arial" w:hAnsi="Arial" w:cs="Arial"/>
                <w:sz w:val="20"/>
                <w:szCs w:val="20"/>
              </w:rPr>
              <w:t>61</w:t>
            </w:r>
          </w:p>
        </w:tc>
        <w:tc>
          <w:tcPr>
            <w:tcW w:w="1155" w:type="dxa"/>
            <w:vMerge/>
          </w:tcPr>
          <w:p w:rsidR="00B44B33" w:rsidRPr="00DD509F" w:rsidRDefault="00B44B33" w:rsidP="00177AD8">
            <w:pPr>
              <w:jc w:val="right"/>
              <w:rPr>
                <w:rFonts w:ascii="Arial" w:hAnsi="Arial" w:cs="Arial"/>
                <w:sz w:val="20"/>
                <w:szCs w:val="20"/>
              </w:rPr>
            </w:pPr>
          </w:p>
        </w:tc>
      </w:tr>
      <w:tr w:rsidR="00B44B33" w:rsidRPr="00DD509F" w:rsidTr="00D465DD">
        <w:tblPrEx>
          <w:tblCellMar>
            <w:left w:w="108" w:type="dxa"/>
            <w:right w:w="108" w:type="dxa"/>
          </w:tblCellMar>
        </w:tblPrEx>
        <w:trPr>
          <w:trHeight w:hRule="exact" w:val="308"/>
        </w:trPr>
        <w:tc>
          <w:tcPr>
            <w:tcW w:w="5954" w:type="dxa"/>
            <w:gridSpan w:val="2"/>
          </w:tcPr>
          <w:p w:rsidR="00B44B33" w:rsidRPr="00DD509F" w:rsidRDefault="00B44B33" w:rsidP="00177AD8">
            <w:pPr>
              <w:rPr>
                <w:rFonts w:ascii="Arial" w:hAnsi="Arial" w:cs="Arial"/>
                <w:sz w:val="20"/>
                <w:szCs w:val="20"/>
              </w:rPr>
            </w:pPr>
            <w:r w:rsidRPr="00DD509F">
              <w:rPr>
                <w:rFonts w:ascii="Arial" w:hAnsi="Arial" w:cs="Arial"/>
                <w:sz w:val="20"/>
                <w:szCs w:val="20"/>
              </w:rPr>
              <w:t>Depreciation provided in the year</w:t>
            </w:r>
          </w:p>
        </w:tc>
        <w:tc>
          <w:tcPr>
            <w:tcW w:w="1248" w:type="dxa"/>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282" w:type="dxa"/>
          </w:tcPr>
          <w:p w:rsidR="00B44B33" w:rsidRPr="00DD509F" w:rsidRDefault="00B44B33" w:rsidP="00177AD8">
            <w:pPr>
              <w:jc w:val="right"/>
              <w:rPr>
                <w:rFonts w:ascii="Arial" w:hAnsi="Arial" w:cs="Arial"/>
                <w:sz w:val="20"/>
                <w:szCs w:val="20"/>
              </w:rPr>
            </w:pPr>
            <w:r w:rsidRPr="00DD509F">
              <w:rPr>
                <w:rFonts w:ascii="Arial" w:hAnsi="Arial" w:cs="Arial"/>
                <w:sz w:val="20"/>
                <w:szCs w:val="20"/>
              </w:rPr>
              <w:t>57</w:t>
            </w:r>
          </w:p>
        </w:tc>
        <w:tc>
          <w:tcPr>
            <w:tcW w:w="1155" w:type="dxa"/>
          </w:tcPr>
          <w:p w:rsidR="00B44B33" w:rsidRPr="00DD509F" w:rsidRDefault="00B44B33" w:rsidP="00177AD8">
            <w:pPr>
              <w:jc w:val="right"/>
              <w:rPr>
                <w:rFonts w:ascii="Arial" w:hAnsi="Arial" w:cs="Arial"/>
                <w:sz w:val="20"/>
                <w:szCs w:val="20"/>
              </w:rPr>
            </w:pPr>
            <w:r w:rsidRPr="00DD509F">
              <w:rPr>
                <w:rFonts w:ascii="Arial" w:hAnsi="Arial" w:cs="Arial"/>
                <w:sz w:val="20"/>
                <w:szCs w:val="20"/>
              </w:rPr>
              <w:t>57</w:t>
            </w:r>
          </w:p>
        </w:tc>
      </w:tr>
      <w:tr w:rsidR="00B44B33" w:rsidRPr="00DD509F" w:rsidTr="00D465DD">
        <w:tblPrEx>
          <w:tblCellMar>
            <w:left w:w="108" w:type="dxa"/>
            <w:right w:w="108" w:type="dxa"/>
          </w:tblCellMar>
        </w:tblPrEx>
        <w:trPr>
          <w:trHeight w:hRule="exact" w:val="308"/>
        </w:trPr>
        <w:tc>
          <w:tcPr>
            <w:tcW w:w="5954" w:type="dxa"/>
            <w:gridSpan w:val="2"/>
          </w:tcPr>
          <w:p w:rsidR="00B44B33" w:rsidRPr="00DD509F" w:rsidRDefault="00B44B33" w:rsidP="00177AD8">
            <w:pPr>
              <w:rPr>
                <w:rFonts w:ascii="Arial" w:hAnsi="Arial" w:cs="Arial"/>
                <w:sz w:val="20"/>
                <w:szCs w:val="20"/>
              </w:rPr>
            </w:pPr>
          </w:p>
        </w:tc>
        <w:tc>
          <w:tcPr>
            <w:tcW w:w="1248" w:type="dxa"/>
          </w:tcPr>
          <w:p w:rsidR="00B44B33" w:rsidRPr="00DD509F" w:rsidRDefault="00B44B33" w:rsidP="00177AD8">
            <w:pPr>
              <w:jc w:val="right"/>
              <w:rPr>
                <w:rFonts w:ascii="Arial" w:hAnsi="Arial" w:cs="Arial"/>
                <w:sz w:val="20"/>
                <w:szCs w:val="20"/>
              </w:rPr>
            </w:pPr>
          </w:p>
        </w:tc>
        <w:tc>
          <w:tcPr>
            <w:tcW w:w="1282" w:type="dxa"/>
          </w:tcPr>
          <w:p w:rsidR="00B44B33" w:rsidRPr="00DD509F" w:rsidRDefault="00B44B33" w:rsidP="00177AD8">
            <w:pPr>
              <w:jc w:val="right"/>
              <w:rPr>
                <w:rFonts w:ascii="Arial" w:hAnsi="Arial" w:cs="Arial"/>
                <w:sz w:val="20"/>
                <w:szCs w:val="20"/>
              </w:rPr>
            </w:pPr>
          </w:p>
        </w:tc>
        <w:tc>
          <w:tcPr>
            <w:tcW w:w="1155" w:type="dxa"/>
          </w:tcPr>
          <w:p w:rsidR="00B44B33" w:rsidRPr="00DD509F" w:rsidRDefault="00B44B33" w:rsidP="00177AD8">
            <w:pPr>
              <w:jc w:val="right"/>
              <w:rPr>
                <w:rFonts w:ascii="Arial" w:hAnsi="Arial" w:cs="Arial"/>
                <w:sz w:val="20"/>
                <w:szCs w:val="20"/>
              </w:rPr>
            </w:pPr>
          </w:p>
        </w:tc>
      </w:tr>
    </w:tbl>
    <w:p w:rsidR="00B44B33"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 xml:space="preserve">At 31 August 2012 the Directors valued the Freehold Properties, comprising Ibrox stadium and Murray Park training facility based on a value in use calculation of the net present values of future </w:t>
      </w:r>
      <w:r w:rsidRPr="00DD509F">
        <w:rPr>
          <w:rFonts w:ascii="Arial" w:hAnsi="Arial" w:cs="Arial"/>
          <w:spacing w:val="-2"/>
          <w:sz w:val="20"/>
          <w:szCs w:val="20"/>
        </w:rPr>
        <w:t>operating cash flows. The key assumptions in this calculation are the expected future cash flows and the</w:t>
      </w:r>
      <w:r w:rsidRPr="00DD509F">
        <w:rPr>
          <w:rFonts w:ascii="Arial" w:hAnsi="Arial" w:cs="Arial"/>
          <w:sz w:val="20"/>
          <w:szCs w:val="20"/>
        </w:rPr>
        <w:t xml:space="preserve"> use of a weighted average cost of capital of 12.25 per cent. The value in use calculation relates to all fixed assets of the Group, including Intangible Assets. If required the </w:t>
      </w:r>
      <w:r>
        <w:rPr>
          <w:rFonts w:ascii="Arial" w:hAnsi="Arial" w:cs="Arial"/>
          <w:sz w:val="20"/>
          <w:szCs w:val="20"/>
        </w:rPr>
        <w:t>property, plant and equipment</w:t>
      </w:r>
      <w:r w:rsidRPr="00DD509F">
        <w:rPr>
          <w:rFonts w:ascii="Arial" w:hAnsi="Arial" w:cs="Arial"/>
          <w:sz w:val="20"/>
          <w:szCs w:val="20"/>
        </w:rPr>
        <w:t xml:space="preserve"> valuation would be capped at the depreciated replacement cost (DRC) valuation as the stadium and training facilities are specialist assets. The DRC valuation</w:t>
      </w:r>
      <w:r>
        <w:rPr>
          <w:rFonts w:ascii="Arial" w:hAnsi="Arial" w:cs="Arial"/>
          <w:sz w:val="20"/>
          <w:szCs w:val="20"/>
        </w:rPr>
        <w:t>,</w:t>
      </w:r>
      <w:r w:rsidRPr="00DD509F">
        <w:rPr>
          <w:rFonts w:ascii="Arial" w:hAnsi="Arial" w:cs="Arial"/>
          <w:sz w:val="20"/>
          <w:szCs w:val="20"/>
        </w:rPr>
        <w:t xml:space="preserve"> which represents a combined value of £79.2</w:t>
      </w:r>
      <w:r>
        <w:rPr>
          <w:rFonts w:ascii="Arial" w:hAnsi="Arial" w:cs="Arial"/>
          <w:sz w:val="20"/>
          <w:szCs w:val="20"/>
        </w:rPr>
        <w:t>m at 31 August 2012</w:t>
      </w:r>
      <w:r w:rsidRPr="00DD509F">
        <w:rPr>
          <w:rFonts w:ascii="Arial" w:hAnsi="Arial" w:cs="Arial"/>
          <w:sz w:val="20"/>
          <w:szCs w:val="20"/>
        </w:rPr>
        <w:t>, has been performed by DM Hall LLP, independent valuers, not connected to the Group.</w:t>
      </w:r>
    </w:p>
    <w:p w:rsidR="00B44B33"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p>
    <w:p w:rsidR="00B44B33" w:rsidRPr="00DD509F" w:rsidRDefault="00B44B33" w:rsidP="00177AD8">
      <w:pPr>
        <w:jc w:val="both"/>
        <w:rPr>
          <w:rFonts w:ascii="Arial" w:hAnsi="Arial" w:cs="Arial"/>
          <w:sz w:val="20"/>
          <w:szCs w:val="20"/>
        </w:rPr>
      </w:pPr>
    </w:p>
    <w:tbl>
      <w:tblPr>
        <w:tblW w:w="9639" w:type="dxa"/>
        <w:tblLayout w:type="fixed"/>
        <w:tblCellMar>
          <w:left w:w="0" w:type="dxa"/>
          <w:right w:w="0" w:type="dxa"/>
        </w:tblCellMar>
        <w:tblLook w:val="0000" w:firstRow="0" w:lastRow="0" w:firstColumn="0" w:lastColumn="0" w:noHBand="0" w:noVBand="0"/>
      </w:tblPr>
      <w:tblGrid>
        <w:gridCol w:w="5490"/>
        <w:gridCol w:w="1456"/>
        <w:gridCol w:w="1276"/>
        <w:gridCol w:w="1417"/>
      </w:tblGrid>
      <w:tr w:rsidR="00B44B33" w:rsidRPr="00DD509F" w:rsidTr="000C61D6">
        <w:trPr>
          <w:trHeight w:hRule="exact" w:val="668"/>
        </w:trPr>
        <w:tc>
          <w:tcPr>
            <w:tcW w:w="5490" w:type="dxa"/>
            <w:tcBorders>
              <w:top w:val="nil"/>
              <w:left w:val="nil"/>
              <w:bottom w:val="nil"/>
              <w:right w:val="nil"/>
            </w:tcBorders>
          </w:tcPr>
          <w:p w:rsidR="00B44B33" w:rsidRPr="00DD509F" w:rsidRDefault="00B44B33" w:rsidP="00177AD8">
            <w:pPr>
              <w:tabs>
                <w:tab w:val="left" w:pos="522"/>
              </w:tabs>
              <w:rPr>
                <w:rFonts w:ascii="Arial" w:hAnsi="Arial" w:cs="Arial"/>
                <w:b/>
                <w:bCs/>
                <w:sz w:val="20"/>
                <w:szCs w:val="20"/>
              </w:rPr>
            </w:pPr>
            <w:r w:rsidRPr="00DD509F">
              <w:rPr>
                <w:rFonts w:ascii="Arial" w:hAnsi="Arial" w:cs="Arial"/>
                <w:b/>
                <w:bCs/>
                <w:sz w:val="20"/>
                <w:szCs w:val="20"/>
              </w:rPr>
              <w:t>9.</w:t>
            </w:r>
            <w:r w:rsidRPr="00DD509F">
              <w:rPr>
                <w:rFonts w:ascii="Arial" w:hAnsi="Arial" w:cs="Arial"/>
                <w:b/>
                <w:bCs/>
                <w:sz w:val="20"/>
                <w:szCs w:val="20"/>
              </w:rPr>
              <w:tab/>
              <w:t>Intangible Assets</w:t>
            </w:r>
          </w:p>
        </w:tc>
        <w:tc>
          <w:tcPr>
            <w:tcW w:w="1456" w:type="dxa"/>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Player</w:t>
            </w:r>
          </w:p>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Registrations</w:t>
            </w:r>
          </w:p>
        </w:tc>
        <w:tc>
          <w:tcPr>
            <w:tcW w:w="1276" w:type="dxa"/>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Brand</w:t>
            </w:r>
          </w:p>
        </w:tc>
        <w:tc>
          <w:tcPr>
            <w:tcW w:w="1417" w:type="dxa"/>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1F6C10">
              <w:rPr>
                <w:rFonts w:ascii="Arial" w:hAnsi="Arial" w:cs="Arial"/>
                <w:i/>
                <w:iCs/>
                <w:spacing w:val="-6"/>
                <w:sz w:val="20"/>
                <w:szCs w:val="20"/>
              </w:rPr>
              <w:t>Total</w:t>
            </w:r>
          </w:p>
        </w:tc>
      </w:tr>
      <w:tr w:rsidR="00B44B33" w:rsidRPr="00DD509F" w:rsidTr="000C61D6">
        <w:trPr>
          <w:trHeight w:hRule="exact" w:val="220"/>
        </w:trPr>
        <w:tc>
          <w:tcPr>
            <w:tcW w:w="5490" w:type="dxa"/>
            <w:tcBorders>
              <w:top w:val="nil"/>
              <w:left w:val="nil"/>
              <w:bottom w:val="nil"/>
              <w:right w:val="nil"/>
            </w:tcBorders>
          </w:tcPr>
          <w:p w:rsidR="00B44B33" w:rsidRPr="00DD509F" w:rsidRDefault="00B44B33" w:rsidP="00177AD8">
            <w:pPr>
              <w:rPr>
                <w:rFonts w:ascii="Arial" w:hAnsi="Arial" w:cs="Arial"/>
                <w:sz w:val="20"/>
                <w:szCs w:val="20"/>
              </w:rPr>
            </w:pPr>
          </w:p>
        </w:tc>
        <w:tc>
          <w:tcPr>
            <w:tcW w:w="1456" w:type="dxa"/>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£’000</w:t>
            </w:r>
          </w:p>
        </w:tc>
        <w:tc>
          <w:tcPr>
            <w:tcW w:w="1276" w:type="dxa"/>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£’000</w:t>
            </w:r>
          </w:p>
        </w:tc>
        <w:tc>
          <w:tcPr>
            <w:tcW w:w="1417" w:type="dxa"/>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£’000</w:t>
            </w:r>
          </w:p>
        </w:tc>
      </w:tr>
      <w:tr w:rsidR="00B44B33" w:rsidRPr="00DD509F" w:rsidTr="000C61D6">
        <w:trPr>
          <w:trHeight w:hRule="exact" w:val="500"/>
        </w:trPr>
        <w:tc>
          <w:tcPr>
            <w:tcW w:w="5490"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Cost:</w:t>
            </w:r>
          </w:p>
          <w:p w:rsidR="00B44B33" w:rsidRPr="00DD509F" w:rsidRDefault="00B44B33" w:rsidP="00177AD8">
            <w:pPr>
              <w:rPr>
                <w:rFonts w:ascii="Arial" w:hAnsi="Arial" w:cs="Arial"/>
                <w:sz w:val="20"/>
                <w:szCs w:val="20"/>
              </w:rPr>
            </w:pPr>
            <w:r w:rsidRPr="00DD509F">
              <w:rPr>
                <w:rFonts w:ascii="Arial" w:hAnsi="Arial" w:cs="Arial"/>
                <w:sz w:val="20"/>
                <w:szCs w:val="20"/>
              </w:rPr>
              <w:t>At incorporation</w:t>
            </w:r>
          </w:p>
        </w:tc>
        <w:tc>
          <w:tcPr>
            <w:tcW w:w="1456"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276"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417"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r>
      <w:tr w:rsidR="00B44B33" w:rsidRPr="00DD509F" w:rsidTr="000C61D6">
        <w:trPr>
          <w:trHeight w:hRule="exact" w:val="254"/>
        </w:trPr>
        <w:tc>
          <w:tcPr>
            <w:tcW w:w="5490"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Acquisition (see note 7)</w:t>
            </w:r>
          </w:p>
        </w:tc>
        <w:tc>
          <w:tcPr>
            <w:tcW w:w="1456"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3,575</w:t>
            </w:r>
          </w:p>
        </w:tc>
        <w:tc>
          <w:tcPr>
            <w:tcW w:w="1276"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16,042</w:t>
            </w:r>
          </w:p>
        </w:tc>
        <w:tc>
          <w:tcPr>
            <w:tcW w:w="1417"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19,617</w:t>
            </w:r>
          </w:p>
        </w:tc>
      </w:tr>
      <w:tr w:rsidR="00B44B33" w:rsidRPr="00DD509F" w:rsidTr="000C61D6">
        <w:trPr>
          <w:trHeight w:hRule="exact" w:val="250"/>
        </w:trPr>
        <w:tc>
          <w:tcPr>
            <w:tcW w:w="5490"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Additions</w:t>
            </w:r>
          </w:p>
        </w:tc>
        <w:tc>
          <w:tcPr>
            <w:tcW w:w="1456"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1,584</w:t>
            </w:r>
          </w:p>
        </w:tc>
        <w:tc>
          <w:tcPr>
            <w:tcW w:w="1276"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417"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1,584</w:t>
            </w:r>
          </w:p>
        </w:tc>
      </w:tr>
      <w:tr w:rsidR="00B44B33" w:rsidRPr="00DD509F" w:rsidTr="000C61D6">
        <w:trPr>
          <w:trHeight w:hRule="exact" w:val="297"/>
        </w:trPr>
        <w:tc>
          <w:tcPr>
            <w:tcW w:w="5490"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Disposals</w:t>
            </w:r>
          </w:p>
        </w:tc>
        <w:tc>
          <w:tcPr>
            <w:tcW w:w="1456"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(1,025)</w:t>
            </w:r>
          </w:p>
        </w:tc>
        <w:tc>
          <w:tcPr>
            <w:tcW w:w="1276"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417"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(1,025)</w:t>
            </w:r>
          </w:p>
        </w:tc>
      </w:tr>
      <w:tr w:rsidR="00B44B33" w:rsidRPr="00DD509F" w:rsidTr="000C61D6">
        <w:trPr>
          <w:trHeight w:hRule="exact" w:val="394"/>
        </w:trPr>
        <w:tc>
          <w:tcPr>
            <w:tcW w:w="5490"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At 31 December 2012</w:t>
            </w:r>
          </w:p>
        </w:tc>
        <w:tc>
          <w:tcPr>
            <w:tcW w:w="1456"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4,134</w:t>
            </w:r>
          </w:p>
        </w:tc>
        <w:tc>
          <w:tcPr>
            <w:tcW w:w="1276"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16,042</w:t>
            </w:r>
          </w:p>
        </w:tc>
        <w:tc>
          <w:tcPr>
            <w:tcW w:w="1417"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20,176</w:t>
            </w:r>
          </w:p>
        </w:tc>
      </w:tr>
      <w:tr w:rsidR="00B44B33" w:rsidRPr="00DD509F" w:rsidTr="00596536">
        <w:tblPrEx>
          <w:tblCellMar>
            <w:left w:w="108" w:type="dxa"/>
            <w:right w:w="108" w:type="dxa"/>
          </w:tblCellMar>
        </w:tblPrEx>
        <w:trPr>
          <w:trHeight w:hRule="exact" w:val="552"/>
        </w:trPr>
        <w:tc>
          <w:tcPr>
            <w:tcW w:w="5490" w:type="dxa"/>
          </w:tcPr>
          <w:p w:rsidR="00B44B33" w:rsidRPr="00DD509F" w:rsidRDefault="00B44B33" w:rsidP="00177AD8">
            <w:pPr>
              <w:rPr>
                <w:rFonts w:ascii="Arial" w:hAnsi="Arial" w:cs="Arial"/>
                <w:sz w:val="20"/>
                <w:szCs w:val="20"/>
              </w:rPr>
            </w:pPr>
            <w:r>
              <w:rPr>
                <w:rFonts w:ascii="Arial" w:hAnsi="Arial" w:cs="Arial"/>
                <w:sz w:val="20"/>
                <w:szCs w:val="20"/>
              </w:rPr>
              <w:t>Amortisation</w:t>
            </w:r>
            <w:r w:rsidRPr="00DD509F">
              <w:rPr>
                <w:rFonts w:ascii="Arial" w:hAnsi="Arial" w:cs="Arial"/>
                <w:sz w:val="20"/>
                <w:szCs w:val="20"/>
              </w:rPr>
              <w:t>:</w:t>
            </w:r>
          </w:p>
          <w:p w:rsidR="00B44B33" w:rsidRPr="00DD509F" w:rsidRDefault="00B44B33" w:rsidP="00177AD8">
            <w:pPr>
              <w:rPr>
                <w:rFonts w:ascii="Arial" w:hAnsi="Arial" w:cs="Arial"/>
                <w:sz w:val="20"/>
                <w:szCs w:val="20"/>
              </w:rPr>
            </w:pPr>
            <w:r w:rsidRPr="00DD509F">
              <w:rPr>
                <w:rFonts w:ascii="Arial" w:hAnsi="Arial" w:cs="Arial"/>
                <w:sz w:val="20"/>
                <w:szCs w:val="20"/>
              </w:rPr>
              <w:t>At incorporation</w:t>
            </w:r>
          </w:p>
        </w:tc>
        <w:tc>
          <w:tcPr>
            <w:tcW w:w="1456" w:type="dxa"/>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276" w:type="dxa"/>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417" w:type="dxa"/>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r>
      <w:tr w:rsidR="00B44B33" w:rsidRPr="00DD509F" w:rsidTr="00596536">
        <w:tblPrEx>
          <w:tblCellMar>
            <w:left w:w="108" w:type="dxa"/>
            <w:right w:w="108" w:type="dxa"/>
          </w:tblCellMar>
        </w:tblPrEx>
        <w:trPr>
          <w:trHeight w:hRule="exact" w:val="249"/>
        </w:trPr>
        <w:tc>
          <w:tcPr>
            <w:tcW w:w="5490" w:type="dxa"/>
          </w:tcPr>
          <w:p w:rsidR="00B44B33" w:rsidRPr="00DD509F" w:rsidRDefault="00B44B33" w:rsidP="00177AD8">
            <w:pPr>
              <w:rPr>
                <w:rFonts w:ascii="Arial" w:hAnsi="Arial" w:cs="Arial"/>
                <w:sz w:val="20"/>
                <w:szCs w:val="20"/>
              </w:rPr>
            </w:pPr>
            <w:r w:rsidRPr="00DD509F">
              <w:rPr>
                <w:rFonts w:ascii="Arial" w:hAnsi="Arial" w:cs="Arial"/>
                <w:sz w:val="20"/>
                <w:szCs w:val="20"/>
              </w:rPr>
              <w:t>Charge for period</w:t>
            </w:r>
          </w:p>
        </w:tc>
        <w:tc>
          <w:tcPr>
            <w:tcW w:w="1456" w:type="dxa"/>
            <w:tcBorders>
              <w:bottom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(860)</w:t>
            </w:r>
          </w:p>
        </w:tc>
        <w:tc>
          <w:tcPr>
            <w:tcW w:w="1276" w:type="dxa"/>
            <w:tcBorders>
              <w:bottom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417" w:type="dxa"/>
            <w:tcBorders>
              <w:bottom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(860)</w:t>
            </w:r>
          </w:p>
        </w:tc>
      </w:tr>
      <w:tr w:rsidR="00B44B33" w:rsidRPr="00DD509F" w:rsidTr="00596536">
        <w:tblPrEx>
          <w:tblCellMar>
            <w:left w:w="108" w:type="dxa"/>
            <w:right w:w="108" w:type="dxa"/>
          </w:tblCellMar>
        </w:tblPrEx>
        <w:trPr>
          <w:trHeight w:hRule="exact" w:val="331"/>
        </w:trPr>
        <w:tc>
          <w:tcPr>
            <w:tcW w:w="5490" w:type="dxa"/>
          </w:tcPr>
          <w:p w:rsidR="00B44B33" w:rsidRPr="00DD509F" w:rsidRDefault="00B44B33" w:rsidP="00177AD8">
            <w:pPr>
              <w:rPr>
                <w:rFonts w:ascii="Arial" w:hAnsi="Arial" w:cs="Arial"/>
                <w:sz w:val="20"/>
                <w:szCs w:val="20"/>
              </w:rPr>
            </w:pPr>
            <w:r w:rsidRPr="00DD509F">
              <w:rPr>
                <w:rFonts w:ascii="Arial" w:hAnsi="Arial" w:cs="Arial"/>
                <w:sz w:val="20"/>
                <w:szCs w:val="20"/>
              </w:rPr>
              <w:t>At 31 December 2012</w:t>
            </w:r>
          </w:p>
        </w:tc>
        <w:tc>
          <w:tcPr>
            <w:tcW w:w="1456" w:type="dxa"/>
            <w:tcBorders>
              <w:top w:val="single" w:sz="2" w:space="0" w:color="auto"/>
              <w:bottom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(860)</w:t>
            </w:r>
          </w:p>
        </w:tc>
        <w:tc>
          <w:tcPr>
            <w:tcW w:w="1276" w:type="dxa"/>
            <w:tcBorders>
              <w:top w:val="single" w:sz="2" w:space="0" w:color="auto"/>
              <w:bottom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417" w:type="dxa"/>
            <w:tcBorders>
              <w:top w:val="single" w:sz="2" w:space="0" w:color="auto"/>
              <w:bottom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(860)</w:t>
            </w:r>
          </w:p>
        </w:tc>
      </w:tr>
      <w:tr w:rsidR="00B44B33" w:rsidRPr="00DD509F" w:rsidTr="00596536">
        <w:tblPrEx>
          <w:tblCellMar>
            <w:left w:w="108" w:type="dxa"/>
            <w:right w:w="108" w:type="dxa"/>
          </w:tblCellMar>
        </w:tblPrEx>
        <w:trPr>
          <w:trHeight w:hRule="exact" w:val="384"/>
        </w:trPr>
        <w:tc>
          <w:tcPr>
            <w:tcW w:w="5490" w:type="dxa"/>
          </w:tcPr>
          <w:p w:rsidR="00B44B33" w:rsidRPr="00DD509F" w:rsidRDefault="00B44B33" w:rsidP="00177AD8">
            <w:pPr>
              <w:rPr>
                <w:rFonts w:ascii="Arial" w:hAnsi="Arial" w:cs="Arial"/>
                <w:sz w:val="20"/>
                <w:szCs w:val="20"/>
              </w:rPr>
            </w:pPr>
            <w:r w:rsidRPr="00DD509F">
              <w:rPr>
                <w:rFonts w:ascii="Arial" w:hAnsi="Arial" w:cs="Arial"/>
                <w:sz w:val="20"/>
                <w:szCs w:val="20"/>
              </w:rPr>
              <w:t>Net book value at incorporation</w:t>
            </w:r>
          </w:p>
        </w:tc>
        <w:tc>
          <w:tcPr>
            <w:tcW w:w="1456" w:type="dxa"/>
            <w:tcBorders>
              <w:top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276" w:type="dxa"/>
            <w:tcBorders>
              <w:top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c>
          <w:tcPr>
            <w:tcW w:w="1417" w:type="dxa"/>
            <w:tcBorders>
              <w:top w:val="single" w:sz="2" w:space="0" w:color="auto"/>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r>
      <w:tr w:rsidR="00B44B33" w:rsidRPr="00DD509F" w:rsidTr="000C61D6">
        <w:trPr>
          <w:trHeight w:hRule="exact" w:val="394"/>
        </w:trPr>
        <w:tc>
          <w:tcPr>
            <w:tcW w:w="5490"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Net book value 31 December 2012</w:t>
            </w:r>
          </w:p>
        </w:tc>
        <w:tc>
          <w:tcPr>
            <w:tcW w:w="1456"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3,274</w:t>
            </w:r>
          </w:p>
        </w:tc>
        <w:tc>
          <w:tcPr>
            <w:tcW w:w="1276"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16,042</w:t>
            </w:r>
          </w:p>
        </w:tc>
        <w:tc>
          <w:tcPr>
            <w:tcW w:w="1417"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19,316</w:t>
            </w:r>
          </w:p>
        </w:tc>
      </w:tr>
    </w:tbl>
    <w:p w:rsidR="00B44B33" w:rsidRDefault="00B44B33" w:rsidP="00177AD8">
      <w:pPr>
        <w:rPr>
          <w:rFonts w:ascii="Arial" w:hAnsi="Arial" w:cs="Arial"/>
          <w:color w:val="3366FF"/>
          <w:sz w:val="20"/>
          <w:szCs w:val="20"/>
        </w:rPr>
      </w:pPr>
    </w:p>
    <w:p w:rsidR="00B44B33" w:rsidRPr="00DD509F" w:rsidRDefault="00B44B33" w:rsidP="00177AD8">
      <w:pPr>
        <w:rPr>
          <w:rFonts w:ascii="Arial" w:hAnsi="Arial" w:cs="Arial"/>
          <w:color w:val="3366FF"/>
          <w:sz w:val="20"/>
          <w:szCs w:val="20"/>
        </w:rPr>
      </w:pPr>
    </w:p>
    <w:tbl>
      <w:tblPr>
        <w:tblW w:w="9639" w:type="dxa"/>
        <w:tblLayout w:type="fixed"/>
        <w:tblCellMar>
          <w:left w:w="0" w:type="dxa"/>
          <w:right w:w="0" w:type="dxa"/>
        </w:tblCellMar>
        <w:tblLook w:val="0000" w:firstRow="0" w:lastRow="0" w:firstColumn="0" w:lastColumn="0" w:noHBand="0" w:noVBand="0"/>
      </w:tblPr>
      <w:tblGrid>
        <w:gridCol w:w="8163"/>
        <w:gridCol w:w="1476"/>
      </w:tblGrid>
      <w:tr w:rsidR="00B44B33" w:rsidRPr="00DD509F" w:rsidTr="00177AD8">
        <w:trPr>
          <w:trHeight w:hRule="exact" w:val="1846"/>
        </w:trPr>
        <w:tc>
          <w:tcPr>
            <w:tcW w:w="8163" w:type="dxa"/>
            <w:tcBorders>
              <w:top w:val="nil"/>
              <w:left w:val="nil"/>
              <w:bottom w:val="nil"/>
              <w:right w:val="nil"/>
            </w:tcBorders>
          </w:tcPr>
          <w:p w:rsidR="00B44B33" w:rsidRPr="00DD509F" w:rsidRDefault="00B44B33" w:rsidP="00177AD8">
            <w:pPr>
              <w:tabs>
                <w:tab w:val="left" w:pos="513"/>
              </w:tabs>
              <w:rPr>
                <w:rFonts w:ascii="Arial" w:hAnsi="Arial" w:cs="Arial"/>
                <w:b/>
                <w:bCs/>
                <w:sz w:val="20"/>
                <w:szCs w:val="20"/>
              </w:rPr>
            </w:pPr>
            <w:r w:rsidRPr="00DD509F">
              <w:rPr>
                <w:rFonts w:ascii="Arial" w:hAnsi="Arial" w:cs="Arial"/>
                <w:b/>
                <w:bCs/>
                <w:sz w:val="20"/>
                <w:szCs w:val="20"/>
              </w:rPr>
              <w:t>10.</w:t>
            </w:r>
            <w:r w:rsidRPr="00DD509F">
              <w:rPr>
                <w:rFonts w:ascii="Arial" w:hAnsi="Arial" w:cs="Arial"/>
                <w:b/>
                <w:bCs/>
                <w:sz w:val="20"/>
                <w:szCs w:val="20"/>
              </w:rPr>
              <w:tab/>
              <w:t>Deferred Income</w:t>
            </w:r>
          </w:p>
        </w:tc>
        <w:tc>
          <w:tcPr>
            <w:tcW w:w="1476" w:type="dxa"/>
            <w:tcBorders>
              <w:top w:val="nil"/>
              <w:left w:val="nil"/>
              <w:bottom w:val="nil"/>
              <w:right w:val="nil"/>
            </w:tcBorders>
          </w:tcPr>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As at</w:t>
            </w:r>
          </w:p>
          <w:p w:rsidR="00B44B33" w:rsidRPr="00DD509F" w:rsidRDefault="00B44B33" w:rsidP="00177AD8">
            <w:pPr>
              <w:jc w:val="right"/>
              <w:rPr>
                <w:rFonts w:ascii="Arial" w:hAnsi="Arial" w:cs="Arial"/>
                <w:i/>
                <w:iCs/>
                <w:spacing w:val="2"/>
                <w:sz w:val="20"/>
                <w:szCs w:val="20"/>
              </w:rPr>
            </w:pPr>
            <w:r w:rsidRPr="00DD509F">
              <w:rPr>
                <w:rFonts w:ascii="Arial" w:hAnsi="Arial" w:cs="Arial"/>
                <w:i/>
                <w:iCs/>
                <w:spacing w:val="2"/>
                <w:sz w:val="20"/>
                <w:szCs w:val="20"/>
              </w:rPr>
              <w:t>31 December</w:t>
            </w:r>
          </w:p>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2012</w:t>
            </w:r>
          </w:p>
        </w:tc>
      </w:tr>
      <w:tr w:rsidR="00B44B33" w:rsidRPr="00DD509F" w:rsidTr="00177AD8">
        <w:trPr>
          <w:trHeight w:hRule="exact" w:val="264"/>
        </w:trPr>
        <w:tc>
          <w:tcPr>
            <w:tcW w:w="8163" w:type="dxa"/>
            <w:tcBorders>
              <w:top w:val="nil"/>
              <w:left w:val="nil"/>
              <w:bottom w:val="nil"/>
              <w:right w:val="nil"/>
            </w:tcBorders>
          </w:tcPr>
          <w:p w:rsidR="00B44B33" w:rsidRPr="00DD509F" w:rsidRDefault="00B44B33" w:rsidP="00177AD8">
            <w:pPr>
              <w:rPr>
                <w:rFonts w:ascii="Arial" w:hAnsi="Arial" w:cs="Arial"/>
                <w:sz w:val="20"/>
                <w:szCs w:val="20"/>
              </w:rPr>
            </w:pPr>
          </w:p>
        </w:tc>
        <w:tc>
          <w:tcPr>
            <w:tcW w:w="1476" w:type="dxa"/>
            <w:tcBorders>
              <w:top w:val="nil"/>
              <w:left w:val="nil"/>
              <w:bottom w:val="nil"/>
              <w:right w:val="nil"/>
            </w:tcBorders>
          </w:tcPr>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£’000</w:t>
            </w:r>
          </w:p>
        </w:tc>
      </w:tr>
      <w:tr w:rsidR="00B44B33" w:rsidRPr="00DD509F" w:rsidTr="00177AD8">
        <w:trPr>
          <w:trHeight w:hRule="exact" w:val="336"/>
        </w:trPr>
        <w:tc>
          <w:tcPr>
            <w:tcW w:w="8163"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Income deferred less than one year</w:t>
            </w:r>
          </w:p>
        </w:tc>
        <w:tc>
          <w:tcPr>
            <w:tcW w:w="1476"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8,117</w:t>
            </w:r>
          </w:p>
        </w:tc>
      </w:tr>
    </w:tbl>
    <w:p w:rsidR="00B44B33" w:rsidRDefault="00B44B33" w:rsidP="00177AD8">
      <w:pPr>
        <w:rPr>
          <w:rFonts w:ascii="Arial" w:hAnsi="Arial" w:cs="Arial"/>
          <w:spacing w:val="-2"/>
          <w:sz w:val="20"/>
          <w:szCs w:val="20"/>
        </w:rPr>
      </w:pPr>
    </w:p>
    <w:p w:rsidR="00B44B33" w:rsidRPr="00DD509F" w:rsidRDefault="00B44B33" w:rsidP="00177AD8">
      <w:pPr>
        <w:rPr>
          <w:rFonts w:ascii="Arial" w:hAnsi="Arial" w:cs="Arial"/>
          <w:sz w:val="20"/>
          <w:szCs w:val="20"/>
        </w:rPr>
      </w:pPr>
      <w:r w:rsidRPr="00DD509F">
        <w:rPr>
          <w:rFonts w:ascii="Arial" w:hAnsi="Arial" w:cs="Arial"/>
          <w:spacing w:val="-2"/>
          <w:sz w:val="20"/>
          <w:szCs w:val="20"/>
        </w:rPr>
        <w:t>Deferred income comprises season tickets, sponsorship, hospitality and other elements of income which</w:t>
      </w:r>
      <w:r w:rsidRPr="00DD509F">
        <w:rPr>
          <w:rFonts w:ascii="Arial" w:hAnsi="Arial" w:cs="Arial"/>
          <w:sz w:val="20"/>
          <w:szCs w:val="20"/>
        </w:rPr>
        <w:t xml:space="preserve"> have been received in advance and will be recognised as revenue as the season progresses.</w:t>
      </w:r>
    </w:p>
    <w:p w:rsidR="00B44B33" w:rsidRDefault="00B44B33" w:rsidP="00177AD8">
      <w:pPr>
        <w:rPr>
          <w:rFonts w:ascii="Arial" w:hAnsi="Arial" w:cs="Arial"/>
          <w:b/>
          <w:bCs/>
          <w:sz w:val="20"/>
          <w:szCs w:val="20"/>
        </w:rPr>
      </w:pPr>
    </w:p>
    <w:p w:rsidR="00B44B33" w:rsidRPr="00DD509F" w:rsidRDefault="00B44B33" w:rsidP="00177AD8">
      <w:pPr>
        <w:rPr>
          <w:rFonts w:ascii="Arial" w:hAnsi="Arial" w:cs="Arial"/>
          <w:b/>
          <w:bCs/>
          <w:sz w:val="20"/>
          <w:szCs w:val="20"/>
        </w:rPr>
      </w:pPr>
      <w:r w:rsidRPr="00DD509F">
        <w:rPr>
          <w:rFonts w:ascii="Arial" w:hAnsi="Arial" w:cs="Arial"/>
          <w:b/>
          <w:bCs/>
          <w:sz w:val="20"/>
          <w:szCs w:val="20"/>
        </w:rPr>
        <w:t>11. Deferred Tax</w:t>
      </w:r>
    </w:p>
    <w:p w:rsidR="00B44B33" w:rsidRDefault="00B44B33" w:rsidP="00177AD8">
      <w:pPr>
        <w:rPr>
          <w:rFonts w:ascii="Arial" w:hAnsi="Arial" w:cs="Arial"/>
          <w:sz w:val="20"/>
          <w:szCs w:val="20"/>
        </w:rPr>
      </w:pPr>
    </w:p>
    <w:p w:rsidR="00B44B33" w:rsidRPr="00DD509F" w:rsidRDefault="00B44B33" w:rsidP="00177AD8">
      <w:pPr>
        <w:rPr>
          <w:rFonts w:ascii="Arial" w:hAnsi="Arial" w:cs="Arial"/>
          <w:sz w:val="20"/>
          <w:szCs w:val="20"/>
        </w:rPr>
      </w:pPr>
      <w:r w:rsidRPr="00DD509F">
        <w:rPr>
          <w:rFonts w:ascii="Arial" w:hAnsi="Arial" w:cs="Arial"/>
          <w:sz w:val="20"/>
          <w:szCs w:val="20"/>
        </w:rPr>
        <w:t>The following are major deferred tax liabilities recognised by the Group:</w:t>
      </w:r>
    </w:p>
    <w:tbl>
      <w:tblPr>
        <w:tblW w:w="9639" w:type="dxa"/>
        <w:tblLayout w:type="fixed"/>
        <w:tblCellMar>
          <w:left w:w="0" w:type="dxa"/>
          <w:right w:w="0" w:type="dxa"/>
        </w:tblCellMar>
        <w:tblLook w:val="0000" w:firstRow="0" w:lastRow="0" w:firstColumn="0" w:lastColumn="0" w:noHBand="0" w:noVBand="0"/>
      </w:tblPr>
      <w:tblGrid>
        <w:gridCol w:w="8222"/>
        <w:gridCol w:w="1417"/>
      </w:tblGrid>
      <w:tr w:rsidR="00B44B33" w:rsidRPr="00DD509F" w:rsidTr="000C61D6">
        <w:trPr>
          <w:trHeight w:hRule="exact" w:val="579"/>
        </w:trPr>
        <w:tc>
          <w:tcPr>
            <w:tcW w:w="8222" w:type="dxa"/>
            <w:tcBorders>
              <w:top w:val="nil"/>
              <w:left w:val="nil"/>
              <w:bottom w:val="nil"/>
              <w:right w:val="nil"/>
            </w:tcBorders>
          </w:tcPr>
          <w:p w:rsidR="00B44B33" w:rsidRPr="00DD509F" w:rsidRDefault="00B44B33" w:rsidP="00177AD8">
            <w:pPr>
              <w:rPr>
                <w:rFonts w:ascii="Arial" w:hAnsi="Arial" w:cs="Arial"/>
                <w:sz w:val="20"/>
                <w:szCs w:val="20"/>
              </w:rPr>
            </w:pPr>
          </w:p>
        </w:tc>
        <w:tc>
          <w:tcPr>
            <w:tcW w:w="1417" w:type="dxa"/>
            <w:tcBorders>
              <w:top w:val="nil"/>
              <w:left w:val="nil"/>
              <w:bottom w:val="nil"/>
              <w:right w:val="nil"/>
            </w:tcBorders>
          </w:tcPr>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Total</w:t>
            </w:r>
          </w:p>
        </w:tc>
      </w:tr>
      <w:tr w:rsidR="00B44B33" w:rsidRPr="00DD509F" w:rsidTr="000C61D6">
        <w:trPr>
          <w:trHeight w:hRule="exact" w:val="211"/>
        </w:trPr>
        <w:tc>
          <w:tcPr>
            <w:tcW w:w="8222" w:type="dxa"/>
            <w:tcBorders>
              <w:top w:val="nil"/>
              <w:left w:val="nil"/>
              <w:bottom w:val="nil"/>
              <w:right w:val="nil"/>
            </w:tcBorders>
          </w:tcPr>
          <w:p w:rsidR="00B44B33" w:rsidRPr="00DD509F" w:rsidRDefault="00B44B33" w:rsidP="00177AD8">
            <w:pPr>
              <w:rPr>
                <w:rFonts w:ascii="Arial" w:hAnsi="Arial" w:cs="Arial"/>
                <w:sz w:val="20"/>
                <w:szCs w:val="20"/>
              </w:rPr>
            </w:pPr>
          </w:p>
        </w:tc>
        <w:tc>
          <w:tcPr>
            <w:tcW w:w="1417" w:type="dxa"/>
            <w:tcBorders>
              <w:top w:val="nil"/>
              <w:left w:val="nil"/>
              <w:bottom w:val="nil"/>
              <w:right w:val="nil"/>
            </w:tcBorders>
          </w:tcPr>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£’000</w:t>
            </w:r>
          </w:p>
        </w:tc>
      </w:tr>
      <w:tr w:rsidR="00B44B33" w:rsidRPr="00DD509F" w:rsidTr="000C61D6">
        <w:trPr>
          <w:trHeight w:hRule="exact" w:val="293"/>
        </w:trPr>
        <w:tc>
          <w:tcPr>
            <w:tcW w:w="8222"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At incorporation</w:t>
            </w:r>
          </w:p>
        </w:tc>
        <w:tc>
          <w:tcPr>
            <w:tcW w:w="1417"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r>
      <w:tr w:rsidR="00B44B33" w:rsidRPr="00DD509F" w:rsidTr="000C61D6">
        <w:trPr>
          <w:trHeight w:hRule="exact" w:val="259"/>
        </w:trPr>
        <w:tc>
          <w:tcPr>
            <w:tcW w:w="8222" w:type="dxa"/>
            <w:tcBorders>
              <w:top w:val="nil"/>
              <w:left w:val="nil"/>
              <w:bottom w:val="nil"/>
              <w:right w:val="nil"/>
            </w:tcBorders>
          </w:tcPr>
          <w:p w:rsidR="00B44B33" w:rsidRPr="00DD509F" w:rsidRDefault="00B44B33" w:rsidP="00177AD8">
            <w:pPr>
              <w:rPr>
                <w:rFonts w:ascii="Arial" w:hAnsi="Arial" w:cs="Arial"/>
                <w:sz w:val="20"/>
                <w:szCs w:val="20"/>
              </w:rPr>
            </w:pPr>
          </w:p>
        </w:tc>
        <w:tc>
          <w:tcPr>
            <w:tcW w:w="1417" w:type="dxa"/>
            <w:tcBorders>
              <w:top w:val="nil"/>
              <w:left w:val="nil"/>
              <w:bottom w:val="nil"/>
              <w:right w:val="nil"/>
            </w:tcBorders>
          </w:tcPr>
          <w:p w:rsidR="00B44B33" w:rsidRPr="00DD509F" w:rsidRDefault="00B44B33" w:rsidP="00177AD8">
            <w:pPr>
              <w:jc w:val="right"/>
              <w:rPr>
                <w:rFonts w:ascii="Arial" w:hAnsi="Arial" w:cs="Arial"/>
                <w:sz w:val="20"/>
                <w:szCs w:val="20"/>
              </w:rPr>
            </w:pPr>
          </w:p>
        </w:tc>
      </w:tr>
      <w:tr w:rsidR="00B44B33" w:rsidRPr="00DD509F" w:rsidTr="000C61D6">
        <w:trPr>
          <w:trHeight w:hRule="exact" w:val="735"/>
        </w:trPr>
        <w:tc>
          <w:tcPr>
            <w:tcW w:w="8222"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Charge to other comprehensive income relating to revaluation of property</w:t>
            </w:r>
          </w:p>
        </w:tc>
        <w:tc>
          <w:tcPr>
            <w:tcW w:w="1417" w:type="dxa"/>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(7,817)</w:t>
            </w:r>
          </w:p>
        </w:tc>
      </w:tr>
      <w:tr w:rsidR="00B44B33" w:rsidRPr="00DD509F" w:rsidTr="000C61D6">
        <w:trPr>
          <w:trHeight w:hRule="exact" w:val="399"/>
        </w:trPr>
        <w:tc>
          <w:tcPr>
            <w:tcW w:w="8222"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At 31 December 2012</w:t>
            </w:r>
          </w:p>
        </w:tc>
        <w:tc>
          <w:tcPr>
            <w:tcW w:w="1417"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(7,817</w:t>
            </w:r>
            <w:r>
              <w:rPr>
                <w:rFonts w:ascii="Arial" w:hAnsi="Arial" w:cs="Arial"/>
                <w:sz w:val="20"/>
                <w:szCs w:val="20"/>
              </w:rPr>
              <w:t>)</w:t>
            </w:r>
          </w:p>
        </w:tc>
      </w:tr>
    </w:tbl>
    <w:p w:rsidR="00B44B33" w:rsidRPr="00DD509F" w:rsidRDefault="00B44B33" w:rsidP="00177AD8">
      <w:pPr>
        <w:rPr>
          <w:rFonts w:ascii="Arial" w:hAnsi="Arial" w:cs="Arial"/>
          <w:sz w:val="20"/>
          <w:szCs w:val="20"/>
        </w:rPr>
      </w:pPr>
    </w:p>
    <w:p w:rsidR="00B44B33" w:rsidRPr="00DD509F" w:rsidRDefault="00B44B33" w:rsidP="00177AD8">
      <w:pPr>
        <w:rPr>
          <w:rFonts w:ascii="Arial" w:hAnsi="Arial" w:cs="Arial"/>
          <w:sz w:val="20"/>
          <w:szCs w:val="20"/>
        </w:rPr>
      </w:pPr>
    </w:p>
    <w:tbl>
      <w:tblPr>
        <w:tblW w:w="9639" w:type="dxa"/>
        <w:tblLayout w:type="fixed"/>
        <w:tblCellMar>
          <w:left w:w="0" w:type="dxa"/>
          <w:right w:w="0" w:type="dxa"/>
        </w:tblCellMar>
        <w:tblLook w:val="0000" w:firstRow="0" w:lastRow="0" w:firstColumn="0" w:lastColumn="0" w:noHBand="0" w:noVBand="0"/>
      </w:tblPr>
      <w:tblGrid>
        <w:gridCol w:w="4037"/>
        <w:gridCol w:w="1211"/>
        <w:gridCol w:w="1949"/>
        <w:gridCol w:w="1025"/>
        <w:gridCol w:w="1417"/>
      </w:tblGrid>
      <w:tr w:rsidR="00B44B33" w:rsidRPr="00DD509F" w:rsidTr="000C61D6">
        <w:trPr>
          <w:trHeight w:hRule="exact" w:val="1753"/>
        </w:trPr>
        <w:tc>
          <w:tcPr>
            <w:tcW w:w="4037" w:type="dxa"/>
            <w:tcBorders>
              <w:top w:val="nil"/>
              <w:left w:val="nil"/>
              <w:bottom w:val="nil"/>
              <w:right w:val="nil"/>
            </w:tcBorders>
          </w:tcPr>
          <w:p w:rsidR="00B44B33" w:rsidRPr="00DD509F" w:rsidRDefault="00B44B33" w:rsidP="00177AD8">
            <w:pPr>
              <w:tabs>
                <w:tab w:val="left" w:pos="522"/>
              </w:tabs>
              <w:rPr>
                <w:rFonts w:ascii="Arial" w:hAnsi="Arial" w:cs="Arial"/>
                <w:b/>
                <w:bCs/>
                <w:sz w:val="20"/>
                <w:szCs w:val="20"/>
              </w:rPr>
            </w:pPr>
            <w:r w:rsidRPr="00DD509F">
              <w:rPr>
                <w:rFonts w:ascii="Arial" w:hAnsi="Arial" w:cs="Arial"/>
                <w:b/>
                <w:bCs/>
                <w:sz w:val="20"/>
                <w:szCs w:val="20"/>
              </w:rPr>
              <w:t>12.</w:t>
            </w:r>
            <w:r w:rsidRPr="00DD509F">
              <w:rPr>
                <w:rFonts w:ascii="Arial" w:hAnsi="Arial" w:cs="Arial"/>
                <w:b/>
                <w:bCs/>
                <w:sz w:val="20"/>
                <w:szCs w:val="20"/>
              </w:rPr>
              <w:tab/>
              <w:t>Share Capital</w:t>
            </w:r>
          </w:p>
        </w:tc>
        <w:tc>
          <w:tcPr>
            <w:tcW w:w="1211" w:type="dxa"/>
            <w:tcBorders>
              <w:left w:val="nil"/>
              <w:bottom w:val="nil"/>
              <w:right w:val="nil"/>
            </w:tcBorders>
          </w:tcPr>
          <w:p w:rsidR="00B44B33" w:rsidRPr="00DD509F" w:rsidRDefault="00B44B33" w:rsidP="00177AD8">
            <w:pPr>
              <w:rPr>
                <w:rFonts w:ascii="Arial" w:hAnsi="Arial" w:cs="Arial"/>
                <w:sz w:val="20"/>
                <w:szCs w:val="20"/>
              </w:rPr>
            </w:pPr>
          </w:p>
        </w:tc>
        <w:tc>
          <w:tcPr>
            <w:tcW w:w="1949" w:type="dxa"/>
            <w:tcBorders>
              <w:left w:val="nil"/>
              <w:bottom w:val="nil"/>
              <w:right w:val="nil"/>
            </w:tcBorders>
          </w:tcPr>
          <w:p w:rsidR="00B44B33" w:rsidRPr="00DD509F" w:rsidRDefault="00B44B33" w:rsidP="00177AD8">
            <w:pPr>
              <w:rPr>
                <w:rFonts w:ascii="Arial" w:hAnsi="Arial" w:cs="Arial"/>
                <w:sz w:val="20"/>
                <w:szCs w:val="20"/>
              </w:rPr>
            </w:pPr>
          </w:p>
        </w:tc>
        <w:tc>
          <w:tcPr>
            <w:tcW w:w="1025" w:type="dxa"/>
            <w:tcBorders>
              <w:left w:val="nil"/>
              <w:bottom w:val="nil"/>
              <w:right w:val="nil"/>
            </w:tcBorders>
          </w:tcPr>
          <w:p w:rsidR="00B44B33" w:rsidRPr="00DD509F" w:rsidRDefault="00B44B33" w:rsidP="00177AD8">
            <w:pPr>
              <w:rPr>
                <w:rFonts w:ascii="Arial" w:hAnsi="Arial" w:cs="Arial"/>
                <w:sz w:val="20"/>
                <w:szCs w:val="20"/>
              </w:rPr>
            </w:pPr>
          </w:p>
        </w:tc>
        <w:tc>
          <w:tcPr>
            <w:tcW w:w="1417" w:type="dxa"/>
            <w:tcBorders>
              <w:left w:val="nil"/>
              <w:bottom w:val="nil"/>
              <w:right w:val="nil"/>
            </w:tcBorders>
          </w:tcPr>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As at</w:t>
            </w:r>
          </w:p>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31 December</w:t>
            </w:r>
          </w:p>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2012</w:t>
            </w:r>
          </w:p>
        </w:tc>
      </w:tr>
      <w:tr w:rsidR="00B44B33" w:rsidRPr="00DD509F" w:rsidTr="000C61D6">
        <w:trPr>
          <w:trHeight w:hRule="exact" w:val="264"/>
        </w:trPr>
        <w:tc>
          <w:tcPr>
            <w:tcW w:w="4037" w:type="dxa"/>
            <w:tcBorders>
              <w:top w:val="nil"/>
              <w:left w:val="nil"/>
              <w:bottom w:val="nil"/>
              <w:right w:val="nil"/>
            </w:tcBorders>
          </w:tcPr>
          <w:p w:rsidR="00B44B33" w:rsidRPr="00DD509F" w:rsidRDefault="00B44B33" w:rsidP="00177AD8">
            <w:pPr>
              <w:rPr>
                <w:rFonts w:ascii="Arial" w:hAnsi="Arial" w:cs="Arial"/>
                <w:sz w:val="20"/>
                <w:szCs w:val="20"/>
              </w:rPr>
            </w:pPr>
          </w:p>
        </w:tc>
        <w:tc>
          <w:tcPr>
            <w:tcW w:w="1211" w:type="dxa"/>
            <w:tcBorders>
              <w:top w:val="nil"/>
              <w:left w:val="nil"/>
              <w:bottom w:val="nil"/>
              <w:right w:val="nil"/>
            </w:tcBorders>
          </w:tcPr>
          <w:p w:rsidR="00B44B33" w:rsidRPr="00DD509F" w:rsidRDefault="00B44B33" w:rsidP="00177AD8">
            <w:pPr>
              <w:rPr>
                <w:rFonts w:ascii="Arial" w:hAnsi="Arial" w:cs="Arial"/>
                <w:sz w:val="20"/>
                <w:szCs w:val="20"/>
              </w:rPr>
            </w:pPr>
          </w:p>
        </w:tc>
        <w:tc>
          <w:tcPr>
            <w:tcW w:w="1949" w:type="dxa"/>
            <w:tcBorders>
              <w:top w:val="nil"/>
              <w:left w:val="nil"/>
              <w:bottom w:val="nil"/>
              <w:right w:val="nil"/>
            </w:tcBorders>
          </w:tcPr>
          <w:p w:rsidR="00B44B33" w:rsidRPr="00DD509F" w:rsidRDefault="00B44B33" w:rsidP="00177AD8">
            <w:pPr>
              <w:rPr>
                <w:rFonts w:ascii="Arial" w:hAnsi="Arial" w:cs="Arial"/>
                <w:sz w:val="20"/>
                <w:szCs w:val="20"/>
              </w:rPr>
            </w:pPr>
          </w:p>
        </w:tc>
        <w:tc>
          <w:tcPr>
            <w:tcW w:w="1025" w:type="dxa"/>
            <w:tcBorders>
              <w:top w:val="nil"/>
              <w:left w:val="nil"/>
              <w:bottom w:val="nil"/>
              <w:right w:val="nil"/>
            </w:tcBorders>
          </w:tcPr>
          <w:p w:rsidR="00B44B33" w:rsidRPr="00DD509F" w:rsidRDefault="00B44B33" w:rsidP="00177AD8">
            <w:pPr>
              <w:rPr>
                <w:rFonts w:ascii="Arial" w:hAnsi="Arial" w:cs="Arial"/>
                <w:sz w:val="20"/>
                <w:szCs w:val="20"/>
              </w:rPr>
            </w:pPr>
          </w:p>
        </w:tc>
        <w:tc>
          <w:tcPr>
            <w:tcW w:w="1417" w:type="dxa"/>
            <w:tcBorders>
              <w:top w:val="nil"/>
              <w:left w:val="nil"/>
              <w:bottom w:val="nil"/>
              <w:right w:val="nil"/>
            </w:tcBorders>
          </w:tcPr>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£’000</w:t>
            </w:r>
          </w:p>
        </w:tc>
      </w:tr>
      <w:tr w:rsidR="00B44B33" w:rsidRPr="00DD509F" w:rsidTr="000C61D6">
        <w:trPr>
          <w:trHeight w:hRule="exact" w:val="595"/>
        </w:trPr>
        <w:tc>
          <w:tcPr>
            <w:tcW w:w="4037"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Allotted, called up and fully paid</w:t>
            </w:r>
          </w:p>
          <w:p w:rsidR="00B44B33" w:rsidRPr="00DD509F" w:rsidRDefault="00B44B33" w:rsidP="00177AD8">
            <w:pPr>
              <w:rPr>
                <w:rFonts w:ascii="Arial" w:hAnsi="Arial" w:cs="Arial"/>
                <w:sz w:val="20"/>
                <w:szCs w:val="20"/>
              </w:rPr>
            </w:pPr>
            <w:r w:rsidRPr="00DD509F">
              <w:rPr>
                <w:rFonts w:ascii="Arial" w:hAnsi="Arial" w:cs="Arial"/>
                <w:sz w:val="20"/>
                <w:szCs w:val="20"/>
              </w:rPr>
              <w:t>65,09</w:t>
            </w:r>
            <w:r>
              <w:rPr>
                <w:rFonts w:ascii="Arial" w:hAnsi="Arial" w:cs="Arial"/>
                <w:sz w:val="20"/>
                <w:szCs w:val="20"/>
              </w:rPr>
              <w:t>5</w:t>
            </w:r>
            <w:r w:rsidRPr="00DD509F">
              <w:rPr>
                <w:rFonts w:ascii="Arial" w:hAnsi="Arial" w:cs="Arial"/>
                <w:sz w:val="20"/>
                <w:szCs w:val="20"/>
              </w:rPr>
              <w:t>,</w:t>
            </w:r>
            <w:r>
              <w:rPr>
                <w:rFonts w:ascii="Arial" w:hAnsi="Arial" w:cs="Arial"/>
                <w:sz w:val="20"/>
                <w:szCs w:val="20"/>
              </w:rPr>
              <w:t>856</w:t>
            </w:r>
            <w:r w:rsidRPr="00DD509F">
              <w:rPr>
                <w:rFonts w:ascii="Arial" w:hAnsi="Arial" w:cs="Arial"/>
                <w:sz w:val="20"/>
                <w:szCs w:val="20"/>
              </w:rPr>
              <w:t xml:space="preserve"> Ordinary shares of 1p each</w:t>
            </w:r>
          </w:p>
        </w:tc>
        <w:tc>
          <w:tcPr>
            <w:tcW w:w="1211" w:type="dxa"/>
            <w:tcBorders>
              <w:top w:val="nil"/>
              <w:left w:val="nil"/>
              <w:bottom w:val="nil"/>
              <w:right w:val="nil"/>
            </w:tcBorders>
          </w:tcPr>
          <w:p w:rsidR="00B44B33" w:rsidRPr="00DD509F" w:rsidRDefault="00B44B33" w:rsidP="00177AD8">
            <w:pPr>
              <w:rPr>
                <w:rFonts w:ascii="Arial" w:hAnsi="Arial" w:cs="Arial"/>
                <w:sz w:val="20"/>
                <w:szCs w:val="20"/>
              </w:rPr>
            </w:pPr>
          </w:p>
        </w:tc>
        <w:tc>
          <w:tcPr>
            <w:tcW w:w="1949" w:type="dxa"/>
            <w:tcBorders>
              <w:top w:val="nil"/>
              <w:left w:val="nil"/>
              <w:bottom w:val="nil"/>
              <w:right w:val="nil"/>
            </w:tcBorders>
          </w:tcPr>
          <w:p w:rsidR="00B44B33" w:rsidRPr="00DD509F" w:rsidRDefault="00B44B33" w:rsidP="00177AD8">
            <w:pPr>
              <w:rPr>
                <w:rFonts w:ascii="Arial" w:hAnsi="Arial" w:cs="Arial"/>
                <w:sz w:val="20"/>
                <w:szCs w:val="20"/>
              </w:rPr>
            </w:pPr>
          </w:p>
        </w:tc>
        <w:tc>
          <w:tcPr>
            <w:tcW w:w="1025" w:type="dxa"/>
            <w:tcBorders>
              <w:top w:val="nil"/>
              <w:left w:val="nil"/>
              <w:bottom w:val="nil"/>
              <w:right w:val="nil"/>
            </w:tcBorders>
          </w:tcPr>
          <w:p w:rsidR="00B44B33" w:rsidRPr="00DD509F" w:rsidRDefault="00B44B33" w:rsidP="00177AD8">
            <w:pPr>
              <w:rPr>
                <w:rFonts w:ascii="Arial" w:hAnsi="Arial" w:cs="Arial"/>
                <w:sz w:val="20"/>
                <w:szCs w:val="20"/>
              </w:rPr>
            </w:pPr>
          </w:p>
        </w:tc>
        <w:tc>
          <w:tcPr>
            <w:tcW w:w="1417" w:type="dxa"/>
            <w:tcBorders>
              <w:top w:val="nil"/>
              <w:left w:val="nil"/>
              <w:bottom w:val="single" w:sz="2" w:space="0" w:color="auto"/>
              <w:right w:val="nil"/>
            </w:tcBorders>
          </w:tcPr>
          <w:p w:rsidR="00B44B33" w:rsidRDefault="00B44B33" w:rsidP="00177AD8">
            <w:pPr>
              <w:jc w:val="right"/>
              <w:rPr>
                <w:rFonts w:ascii="Arial" w:hAnsi="Arial" w:cs="Arial"/>
                <w:sz w:val="20"/>
                <w:szCs w:val="20"/>
              </w:rPr>
            </w:pPr>
          </w:p>
          <w:p w:rsidR="00B44B33" w:rsidRPr="00DD509F" w:rsidRDefault="00B44B33" w:rsidP="00177AD8">
            <w:pPr>
              <w:jc w:val="right"/>
              <w:rPr>
                <w:rFonts w:ascii="Arial" w:hAnsi="Arial" w:cs="Arial"/>
                <w:sz w:val="20"/>
                <w:szCs w:val="20"/>
              </w:rPr>
            </w:pPr>
            <w:r w:rsidRPr="00DD509F">
              <w:rPr>
                <w:rFonts w:ascii="Arial" w:hAnsi="Arial" w:cs="Arial"/>
                <w:sz w:val="20"/>
                <w:szCs w:val="20"/>
              </w:rPr>
              <w:t>651</w:t>
            </w:r>
          </w:p>
        </w:tc>
      </w:tr>
    </w:tbl>
    <w:p w:rsidR="00B44B33"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Pr>
          <w:rFonts w:ascii="Arial" w:hAnsi="Arial" w:cs="Arial"/>
          <w:sz w:val="20"/>
          <w:szCs w:val="20"/>
        </w:rPr>
        <w:t>Rangers International Football Club plc was incorporated on 16 November 2012 with issued share capital of £1.</w:t>
      </w:r>
    </w:p>
    <w:p w:rsidR="00B44B33" w:rsidRDefault="00B44B33" w:rsidP="00177AD8">
      <w:pPr>
        <w:jc w:val="both"/>
        <w:rPr>
          <w:rFonts w:ascii="Arial" w:hAnsi="Arial" w:cs="Arial"/>
          <w:sz w:val="20"/>
          <w:szCs w:val="20"/>
        </w:rPr>
      </w:pPr>
    </w:p>
    <w:p w:rsidR="00B44B33" w:rsidRPr="00DD509F" w:rsidRDefault="00B44B33" w:rsidP="00177AD8">
      <w:pPr>
        <w:rPr>
          <w:rFonts w:ascii="Arial" w:hAnsi="Arial" w:cs="Arial"/>
          <w:sz w:val="20"/>
          <w:szCs w:val="20"/>
        </w:rPr>
      </w:pPr>
      <w:r w:rsidRPr="00DD509F">
        <w:rPr>
          <w:rFonts w:ascii="Arial" w:hAnsi="Arial" w:cs="Arial"/>
          <w:sz w:val="20"/>
          <w:szCs w:val="20"/>
        </w:rPr>
        <w:t>The Club issued 33,415,000 shares in exchange for the same number of shares in RFCL in conjunction with the admission to AIM.</w:t>
      </w:r>
    </w:p>
    <w:p w:rsidR="00B44B33"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 xml:space="preserve">Rangers International Football Club </w:t>
      </w:r>
      <w:r>
        <w:rPr>
          <w:rFonts w:ascii="Arial" w:hAnsi="Arial" w:cs="Arial"/>
          <w:sz w:val="20"/>
          <w:szCs w:val="20"/>
        </w:rPr>
        <w:t xml:space="preserve">plc </w:t>
      </w:r>
      <w:r w:rsidRPr="00DD509F">
        <w:rPr>
          <w:rFonts w:ascii="Arial" w:hAnsi="Arial" w:cs="Arial"/>
          <w:sz w:val="20"/>
          <w:szCs w:val="20"/>
        </w:rPr>
        <w:t>issued 24,242,</w:t>
      </w:r>
      <w:r>
        <w:rPr>
          <w:rFonts w:ascii="Arial" w:hAnsi="Arial" w:cs="Arial"/>
          <w:sz w:val="20"/>
          <w:szCs w:val="20"/>
        </w:rPr>
        <w:t>7</w:t>
      </w:r>
      <w:r w:rsidRPr="00DD509F">
        <w:rPr>
          <w:rFonts w:ascii="Arial" w:hAnsi="Arial" w:cs="Arial"/>
          <w:sz w:val="20"/>
          <w:szCs w:val="20"/>
        </w:rPr>
        <w:t>57 new ordinary shares at the placing price of 70p per new ordinary share through an institutional investor placing and 7,437,999 new ordinary shares were subscribed for at the placing price of 70p per share by a public offer for subscription. RIFC was subsequently admitted to the Alternative Investment Market with the shares being listed. The total number of Ordinary Shares in issue at Admission is 65,09</w:t>
      </w:r>
      <w:r>
        <w:rPr>
          <w:rFonts w:ascii="Arial" w:hAnsi="Arial" w:cs="Arial"/>
          <w:sz w:val="20"/>
          <w:szCs w:val="20"/>
        </w:rPr>
        <w:t>5</w:t>
      </w:r>
      <w:r w:rsidRPr="00DD509F">
        <w:rPr>
          <w:rFonts w:ascii="Arial" w:hAnsi="Arial" w:cs="Arial"/>
          <w:sz w:val="20"/>
          <w:szCs w:val="20"/>
        </w:rPr>
        <w:t>,856</w:t>
      </w:r>
      <w:r>
        <w:rPr>
          <w:rFonts w:ascii="Arial" w:hAnsi="Arial" w:cs="Arial"/>
          <w:sz w:val="20"/>
          <w:szCs w:val="20"/>
        </w:rPr>
        <w:t>.</w:t>
      </w:r>
    </w:p>
    <w:p w:rsidR="00B44B33" w:rsidRPr="00DD509F" w:rsidRDefault="00B44B33" w:rsidP="00177AD8">
      <w:pPr>
        <w:jc w:val="both"/>
        <w:rPr>
          <w:rFonts w:ascii="Arial" w:hAnsi="Arial" w:cs="Arial"/>
          <w:color w:val="3366FF"/>
          <w:sz w:val="20"/>
          <w:szCs w:val="20"/>
        </w:rPr>
      </w:pPr>
    </w:p>
    <w:tbl>
      <w:tblPr>
        <w:tblW w:w="9498" w:type="dxa"/>
        <w:tblLayout w:type="fixed"/>
        <w:tblCellMar>
          <w:left w:w="0" w:type="dxa"/>
          <w:right w:w="0" w:type="dxa"/>
        </w:tblCellMar>
        <w:tblLook w:val="0000" w:firstRow="0" w:lastRow="0" w:firstColumn="0" w:lastColumn="0" w:noHBand="0" w:noVBand="0"/>
      </w:tblPr>
      <w:tblGrid>
        <w:gridCol w:w="7938"/>
        <w:gridCol w:w="1560"/>
      </w:tblGrid>
      <w:tr w:rsidR="00B44B33" w:rsidRPr="00DD509F" w:rsidTr="001F6C10">
        <w:trPr>
          <w:trHeight w:hRule="exact" w:val="2555"/>
        </w:trPr>
        <w:tc>
          <w:tcPr>
            <w:tcW w:w="7938" w:type="dxa"/>
            <w:tcBorders>
              <w:top w:val="nil"/>
              <w:left w:val="nil"/>
              <w:bottom w:val="nil"/>
              <w:right w:val="nil"/>
            </w:tcBorders>
          </w:tcPr>
          <w:p w:rsidR="00B44B33" w:rsidRPr="00DD509F" w:rsidRDefault="00B44B33" w:rsidP="00177AD8">
            <w:pPr>
              <w:tabs>
                <w:tab w:val="left" w:pos="522"/>
              </w:tabs>
              <w:rPr>
                <w:rFonts w:ascii="Arial" w:hAnsi="Arial" w:cs="Arial"/>
                <w:b/>
                <w:bCs/>
                <w:sz w:val="20"/>
                <w:szCs w:val="20"/>
              </w:rPr>
            </w:pPr>
            <w:r w:rsidRPr="00DD509F">
              <w:rPr>
                <w:rFonts w:ascii="Arial" w:hAnsi="Arial" w:cs="Arial"/>
                <w:b/>
                <w:bCs/>
                <w:sz w:val="20"/>
                <w:szCs w:val="20"/>
              </w:rPr>
              <w:t>13.</w:t>
            </w:r>
            <w:r w:rsidRPr="00DD509F">
              <w:rPr>
                <w:rFonts w:ascii="Arial" w:hAnsi="Arial" w:cs="Arial"/>
                <w:b/>
                <w:bCs/>
                <w:sz w:val="20"/>
                <w:szCs w:val="20"/>
              </w:rPr>
              <w:tab/>
              <w:t>Share Premium</w:t>
            </w:r>
          </w:p>
        </w:tc>
        <w:tc>
          <w:tcPr>
            <w:tcW w:w="1560" w:type="dxa"/>
            <w:tcBorders>
              <w:top w:val="nil"/>
              <w:left w:val="nil"/>
              <w:bottom w:val="nil"/>
              <w:right w:val="nil"/>
            </w:tcBorders>
          </w:tcPr>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As at</w:t>
            </w:r>
          </w:p>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31 December</w:t>
            </w:r>
          </w:p>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2012</w:t>
            </w:r>
          </w:p>
          <w:p w:rsidR="00B44B33" w:rsidRDefault="00B44B33" w:rsidP="00AE07D8">
            <w:pPr>
              <w:tabs>
                <w:tab w:val="left" w:pos="1230"/>
              </w:tabs>
              <w:jc w:val="center"/>
              <w:rPr>
                <w:rFonts w:ascii="Arial" w:hAnsi="Arial" w:cs="Arial"/>
                <w:i/>
                <w:iCs/>
                <w:spacing w:val="-6"/>
                <w:sz w:val="20"/>
                <w:szCs w:val="20"/>
              </w:rPr>
            </w:pPr>
            <w:r>
              <w:rPr>
                <w:rFonts w:ascii="Arial" w:hAnsi="Arial" w:cs="Arial"/>
                <w:i/>
                <w:iCs/>
                <w:spacing w:val="-6"/>
                <w:sz w:val="20"/>
                <w:szCs w:val="20"/>
              </w:rPr>
              <w:t xml:space="preserve">                     £’000</w:t>
            </w:r>
          </w:p>
        </w:tc>
      </w:tr>
      <w:tr w:rsidR="00B44B33" w:rsidRPr="00DD509F" w:rsidTr="001F6C10">
        <w:trPr>
          <w:trHeight w:hRule="exact" w:val="288"/>
        </w:trPr>
        <w:tc>
          <w:tcPr>
            <w:tcW w:w="7938" w:type="dxa"/>
            <w:tcBorders>
              <w:top w:val="nil"/>
              <w:left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Balance at incorporation</w:t>
            </w:r>
          </w:p>
        </w:tc>
        <w:tc>
          <w:tcPr>
            <w:tcW w:w="1560" w:type="dxa"/>
            <w:tcBorders>
              <w:top w:val="nil"/>
              <w:left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r>
      <w:tr w:rsidR="00B44B33" w:rsidRPr="00DD509F" w:rsidTr="001F6C10">
        <w:trPr>
          <w:trHeight w:hRule="exact" w:val="307"/>
        </w:trPr>
        <w:tc>
          <w:tcPr>
            <w:tcW w:w="7938" w:type="dxa"/>
            <w:tcBorders>
              <w:top w:val="nil"/>
              <w:left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Premium arising on issue of equity shares</w:t>
            </w:r>
          </w:p>
        </w:tc>
        <w:tc>
          <w:tcPr>
            <w:tcW w:w="1560" w:type="dxa"/>
            <w:tcBorders>
              <w:top w:val="nil"/>
              <w:left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34,520</w:t>
            </w:r>
          </w:p>
        </w:tc>
      </w:tr>
      <w:tr w:rsidR="00B44B33" w:rsidRPr="00DD509F" w:rsidTr="001F6C10">
        <w:trPr>
          <w:trHeight w:hRule="exact" w:val="394"/>
        </w:trPr>
        <w:tc>
          <w:tcPr>
            <w:tcW w:w="7938" w:type="dxa"/>
            <w:tcBorders>
              <w:left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Costs incurred in relation to fund raising</w:t>
            </w:r>
          </w:p>
        </w:tc>
        <w:tc>
          <w:tcPr>
            <w:tcW w:w="1560" w:type="dxa"/>
            <w:tcBorders>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(4,373)</w:t>
            </w:r>
          </w:p>
        </w:tc>
      </w:tr>
      <w:tr w:rsidR="00B44B33" w:rsidRPr="00DD509F" w:rsidTr="001F6C10">
        <w:trPr>
          <w:trHeight w:hRule="exact" w:val="394"/>
        </w:trPr>
        <w:tc>
          <w:tcPr>
            <w:tcW w:w="7938" w:type="dxa"/>
            <w:tcBorders>
              <w:left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Balance at 31 December 2012</w:t>
            </w:r>
          </w:p>
        </w:tc>
        <w:tc>
          <w:tcPr>
            <w:tcW w:w="1560"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30,147</w:t>
            </w:r>
          </w:p>
        </w:tc>
      </w:tr>
    </w:tbl>
    <w:p w:rsidR="00B44B33" w:rsidRDefault="00B44B33" w:rsidP="00177AD8">
      <w:pPr>
        <w:rPr>
          <w:rFonts w:ascii="Arial" w:hAnsi="Arial" w:cs="Arial"/>
          <w:sz w:val="20"/>
          <w:szCs w:val="20"/>
        </w:rPr>
      </w:pPr>
    </w:p>
    <w:p w:rsidR="00B44B33" w:rsidRPr="00DD509F" w:rsidRDefault="00B44B33" w:rsidP="00177AD8">
      <w:pPr>
        <w:rPr>
          <w:rFonts w:ascii="Arial" w:hAnsi="Arial" w:cs="Arial"/>
          <w:sz w:val="20"/>
          <w:szCs w:val="20"/>
        </w:rPr>
      </w:pPr>
    </w:p>
    <w:tbl>
      <w:tblPr>
        <w:tblW w:w="9639" w:type="dxa"/>
        <w:tblLayout w:type="fixed"/>
        <w:tblLook w:val="0000" w:firstRow="0" w:lastRow="0" w:firstColumn="0" w:lastColumn="0" w:noHBand="0" w:noVBand="0"/>
      </w:tblPr>
      <w:tblGrid>
        <w:gridCol w:w="7992"/>
        <w:gridCol w:w="1647"/>
      </w:tblGrid>
      <w:tr w:rsidR="00B44B33" w:rsidRPr="00DD509F" w:rsidTr="001F6C10">
        <w:trPr>
          <w:trHeight w:hRule="exact" w:val="1702"/>
        </w:trPr>
        <w:tc>
          <w:tcPr>
            <w:tcW w:w="7582" w:type="dxa"/>
          </w:tcPr>
          <w:p w:rsidR="00B44B33" w:rsidRPr="00DD509F" w:rsidRDefault="00B44B33" w:rsidP="00177AD8">
            <w:pPr>
              <w:tabs>
                <w:tab w:val="left" w:pos="513"/>
              </w:tabs>
              <w:rPr>
                <w:rFonts w:ascii="Arial" w:hAnsi="Arial" w:cs="Arial"/>
                <w:b/>
                <w:bCs/>
                <w:sz w:val="20"/>
                <w:szCs w:val="20"/>
              </w:rPr>
            </w:pPr>
            <w:r w:rsidRPr="00DD509F">
              <w:rPr>
                <w:rFonts w:ascii="Arial" w:hAnsi="Arial" w:cs="Arial"/>
                <w:b/>
                <w:bCs/>
                <w:sz w:val="20"/>
                <w:szCs w:val="20"/>
              </w:rPr>
              <w:t>14.</w:t>
            </w:r>
            <w:r w:rsidRPr="00DD509F">
              <w:rPr>
                <w:rFonts w:ascii="Arial" w:hAnsi="Arial" w:cs="Arial"/>
                <w:b/>
                <w:bCs/>
                <w:sz w:val="20"/>
                <w:szCs w:val="20"/>
              </w:rPr>
              <w:tab/>
              <w:t>Revaluation Reserve</w:t>
            </w:r>
          </w:p>
        </w:tc>
        <w:tc>
          <w:tcPr>
            <w:tcW w:w="1562" w:type="dxa"/>
          </w:tcPr>
          <w:p w:rsidR="00B44B33" w:rsidRPr="00DD509F"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As at</w:t>
            </w:r>
          </w:p>
          <w:p w:rsidR="00B44B33" w:rsidRPr="00DD509F" w:rsidRDefault="00B44B33" w:rsidP="0013767D">
            <w:pPr>
              <w:jc w:val="right"/>
              <w:rPr>
                <w:rFonts w:ascii="Arial" w:hAnsi="Arial" w:cs="Arial"/>
                <w:i/>
                <w:iCs/>
                <w:spacing w:val="-6"/>
                <w:sz w:val="20"/>
                <w:szCs w:val="20"/>
              </w:rPr>
            </w:pPr>
            <w:r w:rsidRPr="00DD509F">
              <w:rPr>
                <w:rFonts w:ascii="Arial" w:hAnsi="Arial" w:cs="Arial"/>
                <w:i/>
                <w:iCs/>
                <w:spacing w:val="-6"/>
                <w:sz w:val="20"/>
                <w:szCs w:val="20"/>
              </w:rPr>
              <w:t>31 December</w:t>
            </w:r>
          </w:p>
          <w:p w:rsidR="00B44B33" w:rsidRDefault="00B44B33" w:rsidP="00177AD8">
            <w:pPr>
              <w:jc w:val="right"/>
              <w:rPr>
                <w:rFonts w:ascii="Arial" w:hAnsi="Arial" w:cs="Arial"/>
                <w:i/>
                <w:iCs/>
                <w:spacing w:val="-6"/>
                <w:sz w:val="20"/>
                <w:szCs w:val="20"/>
              </w:rPr>
            </w:pPr>
            <w:r w:rsidRPr="00DD509F">
              <w:rPr>
                <w:rFonts w:ascii="Arial" w:hAnsi="Arial" w:cs="Arial"/>
                <w:i/>
                <w:iCs/>
                <w:spacing w:val="-6"/>
                <w:sz w:val="20"/>
                <w:szCs w:val="20"/>
              </w:rPr>
              <w:t>2012</w:t>
            </w:r>
          </w:p>
          <w:p w:rsidR="00B44B33" w:rsidRPr="00DD509F" w:rsidRDefault="00B44B33" w:rsidP="00177AD8">
            <w:pPr>
              <w:jc w:val="right"/>
              <w:rPr>
                <w:rFonts w:ascii="Arial" w:hAnsi="Arial" w:cs="Arial"/>
                <w:i/>
                <w:iCs/>
                <w:spacing w:val="-6"/>
                <w:sz w:val="20"/>
                <w:szCs w:val="20"/>
              </w:rPr>
            </w:pPr>
            <w:r>
              <w:rPr>
                <w:rFonts w:ascii="Arial" w:hAnsi="Arial" w:cs="Arial"/>
                <w:i/>
                <w:iCs/>
                <w:spacing w:val="-6"/>
                <w:sz w:val="20"/>
                <w:szCs w:val="20"/>
              </w:rPr>
              <w:t>‘£000</w:t>
            </w:r>
          </w:p>
        </w:tc>
      </w:tr>
      <w:tr w:rsidR="00B44B33" w:rsidRPr="00DD509F" w:rsidTr="001F6C10">
        <w:tblPrEx>
          <w:tblCellMar>
            <w:left w:w="0" w:type="dxa"/>
            <w:right w:w="0" w:type="dxa"/>
          </w:tblCellMar>
        </w:tblPrEx>
        <w:trPr>
          <w:trHeight w:hRule="exact" w:val="293"/>
        </w:trPr>
        <w:tc>
          <w:tcPr>
            <w:tcW w:w="7582"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Balance at incorporation</w:t>
            </w:r>
          </w:p>
        </w:tc>
        <w:tc>
          <w:tcPr>
            <w:tcW w:w="1562"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w:t>
            </w:r>
          </w:p>
        </w:tc>
      </w:tr>
      <w:tr w:rsidR="00B44B33" w:rsidRPr="00DD509F" w:rsidTr="001F6C10">
        <w:tblPrEx>
          <w:tblCellMar>
            <w:left w:w="0" w:type="dxa"/>
            <w:right w:w="0" w:type="dxa"/>
          </w:tblCellMar>
        </w:tblPrEx>
        <w:trPr>
          <w:trHeight w:hRule="exact" w:val="259"/>
        </w:trPr>
        <w:tc>
          <w:tcPr>
            <w:tcW w:w="7582"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Revaluation increase on land and buildings</w:t>
            </w:r>
          </w:p>
        </w:tc>
        <w:tc>
          <w:tcPr>
            <w:tcW w:w="1562" w:type="dxa"/>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33,988</w:t>
            </w:r>
          </w:p>
        </w:tc>
      </w:tr>
      <w:tr w:rsidR="00B44B33" w:rsidRPr="00DD509F" w:rsidTr="001F6C10">
        <w:tblPrEx>
          <w:tblCellMar>
            <w:left w:w="0" w:type="dxa"/>
            <w:right w:w="0" w:type="dxa"/>
          </w:tblCellMar>
        </w:tblPrEx>
        <w:trPr>
          <w:trHeight w:hRule="exact" w:val="259"/>
        </w:trPr>
        <w:tc>
          <w:tcPr>
            <w:tcW w:w="7582" w:type="dxa"/>
            <w:tcBorders>
              <w:top w:val="nil"/>
              <w:left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Deferred tax on revaluation</w:t>
            </w:r>
          </w:p>
          <w:p w:rsidR="00B44B33" w:rsidRPr="00DD509F" w:rsidRDefault="00B44B33" w:rsidP="00177AD8">
            <w:pPr>
              <w:rPr>
                <w:rFonts w:ascii="Arial" w:hAnsi="Arial" w:cs="Arial"/>
                <w:sz w:val="20"/>
                <w:szCs w:val="20"/>
              </w:rPr>
            </w:pPr>
          </w:p>
          <w:p w:rsidR="00B44B33" w:rsidRPr="00DD509F" w:rsidRDefault="00B44B33" w:rsidP="00177AD8">
            <w:pPr>
              <w:rPr>
                <w:rFonts w:ascii="Arial" w:hAnsi="Arial" w:cs="Arial"/>
                <w:sz w:val="20"/>
                <w:szCs w:val="20"/>
              </w:rPr>
            </w:pPr>
          </w:p>
          <w:p w:rsidR="00B44B33" w:rsidRPr="00DD509F" w:rsidRDefault="00B44B33" w:rsidP="00177AD8">
            <w:pPr>
              <w:rPr>
                <w:rFonts w:ascii="Arial" w:hAnsi="Arial" w:cs="Arial"/>
                <w:sz w:val="20"/>
                <w:szCs w:val="20"/>
              </w:rPr>
            </w:pPr>
          </w:p>
        </w:tc>
        <w:tc>
          <w:tcPr>
            <w:tcW w:w="1562" w:type="dxa"/>
            <w:tcBorders>
              <w:top w:val="nil"/>
              <w:left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(7,817)</w:t>
            </w:r>
          </w:p>
        </w:tc>
      </w:tr>
      <w:tr w:rsidR="00B44B33" w:rsidRPr="00DD509F" w:rsidTr="001F6C10">
        <w:tblPrEx>
          <w:tblCellMar>
            <w:left w:w="0" w:type="dxa"/>
            <w:right w:w="0" w:type="dxa"/>
          </w:tblCellMar>
        </w:tblPrEx>
        <w:trPr>
          <w:trHeight w:hRule="exact" w:val="303"/>
        </w:trPr>
        <w:tc>
          <w:tcPr>
            <w:tcW w:w="7582" w:type="dxa"/>
            <w:tcBorders>
              <w:top w:val="nil"/>
              <w:left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 xml:space="preserve">Transfer from revaluation reserve to </w:t>
            </w:r>
            <w:r>
              <w:rPr>
                <w:rFonts w:ascii="Arial" w:hAnsi="Arial" w:cs="Arial"/>
                <w:sz w:val="20"/>
                <w:szCs w:val="20"/>
              </w:rPr>
              <w:t>retained earnings in respect of depreciation</w:t>
            </w:r>
          </w:p>
        </w:tc>
        <w:tc>
          <w:tcPr>
            <w:tcW w:w="1562" w:type="dxa"/>
            <w:tcBorders>
              <w:top w:val="nil"/>
              <w:left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(155)</w:t>
            </w:r>
          </w:p>
        </w:tc>
      </w:tr>
      <w:tr w:rsidR="00B44B33" w:rsidRPr="00DD509F" w:rsidTr="001F6C10">
        <w:tblPrEx>
          <w:tblCellMar>
            <w:left w:w="0" w:type="dxa"/>
            <w:right w:w="0" w:type="dxa"/>
          </w:tblCellMar>
        </w:tblPrEx>
        <w:trPr>
          <w:trHeight w:hRule="exact" w:val="398"/>
        </w:trPr>
        <w:tc>
          <w:tcPr>
            <w:tcW w:w="7582" w:type="dxa"/>
            <w:tcBorders>
              <w:left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Balance at 31 December 2012</w:t>
            </w:r>
          </w:p>
        </w:tc>
        <w:tc>
          <w:tcPr>
            <w:tcW w:w="1562" w:type="dxa"/>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26,016</w:t>
            </w:r>
          </w:p>
        </w:tc>
      </w:tr>
    </w:tbl>
    <w:p w:rsidR="00B44B33" w:rsidRDefault="00B44B33" w:rsidP="00177AD8">
      <w:pPr>
        <w:rPr>
          <w:rFonts w:ascii="Arial" w:hAnsi="Arial" w:cs="Arial"/>
          <w:sz w:val="20"/>
          <w:szCs w:val="20"/>
        </w:rPr>
      </w:pPr>
    </w:p>
    <w:p w:rsidR="00B44B33" w:rsidRPr="00DD509F" w:rsidRDefault="00B44B33" w:rsidP="00177AD8">
      <w:pPr>
        <w:rPr>
          <w:rFonts w:ascii="Arial" w:hAnsi="Arial" w:cs="Arial"/>
          <w:sz w:val="20"/>
          <w:szCs w:val="20"/>
        </w:rPr>
      </w:pPr>
      <w:r>
        <w:rPr>
          <w:rFonts w:ascii="Arial" w:hAnsi="Arial" w:cs="Arial"/>
          <w:sz w:val="20"/>
          <w:szCs w:val="20"/>
        </w:rPr>
        <w:br w:type="page"/>
      </w:r>
    </w:p>
    <w:tbl>
      <w:tblPr>
        <w:tblW w:w="9639" w:type="dxa"/>
        <w:tblLayout w:type="fixed"/>
        <w:tblLook w:val="0000" w:firstRow="0" w:lastRow="0" w:firstColumn="0" w:lastColumn="0" w:noHBand="0" w:noVBand="0"/>
      </w:tblPr>
      <w:tblGrid>
        <w:gridCol w:w="8046"/>
        <w:gridCol w:w="32"/>
        <w:gridCol w:w="1561"/>
      </w:tblGrid>
      <w:tr w:rsidR="00B44B33" w:rsidRPr="00DD509F" w:rsidTr="00D465DD">
        <w:trPr>
          <w:trHeight w:hRule="exact" w:val="1974"/>
        </w:trPr>
        <w:tc>
          <w:tcPr>
            <w:tcW w:w="8078" w:type="dxa"/>
            <w:gridSpan w:val="2"/>
          </w:tcPr>
          <w:p w:rsidR="00B44B33" w:rsidRPr="00DD509F" w:rsidRDefault="00B44B33" w:rsidP="00177AD8">
            <w:pPr>
              <w:tabs>
                <w:tab w:val="left" w:pos="522"/>
              </w:tabs>
              <w:rPr>
                <w:rFonts w:ascii="Arial" w:hAnsi="Arial" w:cs="Arial"/>
                <w:b/>
                <w:bCs/>
                <w:sz w:val="20"/>
                <w:szCs w:val="20"/>
              </w:rPr>
            </w:pPr>
            <w:r w:rsidRPr="00DD509F">
              <w:rPr>
                <w:rFonts w:ascii="Arial" w:hAnsi="Arial" w:cs="Arial"/>
                <w:b/>
                <w:bCs/>
                <w:sz w:val="20"/>
                <w:szCs w:val="20"/>
              </w:rPr>
              <w:t>15.</w:t>
            </w:r>
            <w:r w:rsidRPr="00DD509F">
              <w:rPr>
                <w:rFonts w:ascii="Arial" w:hAnsi="Arial" w:cs="Arial"/>
                <w:b/>
                <w:bCs/>
                <w:sz w:val="20"/>
                <w:szCs w:val="20"/>
              </w:rPr>
              <w:tab/>
              <w:t>Notes to the Consolidated Statement of Cash flows</w:t>
            </w:r>
          </w:p>
        </w:tc>
        <w:tc>
          <w:tcPr>
            <w:tcW w:w="1561" w:type="dxa"/>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7 month period</w:t>
            </w:r>
          </w:p>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to 31December</w:t>
            </w:r>
          </w:p>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2012</w:t>
            </w:r>
          </w:p>
        </w:tc>
      </w:tr>
      <w:tr w:rsidR="00B44B33" w:rsidRPr="00DD509F" w:rsidTr="00D465DD">
        <w:tblPrEx>
          <w:tblCellMar>
            <w:left w:w="0" w:type="dxa"/>
            <w:right w:w="0" w:type="dxa"/>
          </w:tblCellMar>
        </w:tblPrEx>
        <w:trPr>
          <w:trHeight w:hRule="exact" w:val="264"/>
        </w:trPr>
        <w:tc>
          <w:tcPr>
            <w:tcW w:w="8046" w:type="dxa"/>
            <w:tcBorders>
              <w:top w:val="nil"/>
              <w:left w:val="nil"/>
              <w:bottom w:val="nil"/>
              <w:right w:val="nil"/>
            </w:tcBorders>
          </w:tcPr>
          <w:p w:rsidR="00B44B33" w:rsidRPr="00DD509F" w:rsidRDefault="00B44B33" w:rsidP="00177AD8">
            <w:pPr>
              <w:rPr>
                <w:rFonts w:ascii="Arial" w:hAnsi="Arial" w:cs="Arial"/>
                <w:sz w:val="20"/>
                <w:szCs w:val="20"/>
              </w:rPr>
            </w:pPr>
          </w:p>
        </w:tc>
        <w:tc>
          <w:tcPr>
            <w:tcW w:w="1593" w:type="dxa"/>
            <w:gridSpan w:val="2"/>
            <w:tcBorders>
              <w:top w:val="nil"/>
              <w:left w:val="nil"/>
              <w:bottom w:val="nil"/>
              <w:right w:val="nil"/>
            </w:tcBorders>
          </w:tcPr>
          <w:p w:rsidR="00B44B33" w:rsidRPr="00DD509F" w:rsidRDefault="00B44B33" w:rsidP="00177AD8">
            <w:pPr>
              <w:jc w:val="right"/>
              <w:rPr>
                <w:rFonts w:ascii="Arial" w:hAnsi="Arial" w:cs="Arial"/>
                <w:i/>
                <w:iCs/>
                <w:spacing w:val="4"/>
                <w:sz w:val="20"/>
                <w:szCs w:val="20"/>
              </w:rPr>
            </w:pPr>
            <w:r w:rsidRPr="00DD509F">
              <w:rPr>
                <w:rFonts w:ascii="Arial" w:hAnsi="Arial" w:cs="Arial"/>
                <w:i/>
                <w:iCs/>
                <w:spacing w:val="4"/>
                <w:sz w:val="20"/>
                <w:szCs w:val="20"/>
              </w:rPr>
              <w:t>£’000</w:t>
            </w:r>
          </w:p>
        </w:tc>
      </w:tr>
      <w:tr w:rsidR="00B44B33" w:rsidRPr="00DD509F" w:rsidTr="00D465DD">
        <w:tblPrEx>
          <w:tblCellMar>
            <w:left w:w="0" w:type="dxa"/>
            <w:right w:w="0" w:type="dxa"/>
          </w:tblCellMar>
        </w:tblPrEx>
        <w:trPr>
          <w:trHeight w:hRule="exact" w:val="288"/>
        </w:trPr>
        <w:tc>
          <w:tcPr>
            <w:tcW w:w="8046"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Profit for the period</w:t>
            </w:r>
          </w:p>
        </w:tc>
        <w:tc>
          <w:tcPr>
            <w:tcW w:w="1593" w:type="dxa"/>
            <w:gridSpan w:val="2"/>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9,520</w:t>
            </w:r>
          </w:p>
        </w:tc>
      </w:tr>
      <w:tr w:rsidR="00B44B33" w:rsidRPr="00DD509F" w:rsidTr="00D465DD">
        <w:tblPrEx>
          <w:tblCellMar>
            <w:left w:w="0" w:type="dxa"/>
            <w:right w:w="0" w:type="dxa"/>
          </w:tblCellMar>
        </w:tblPrEx>
        <w:trPr>
          <w:trHeight w:hRule="exact" w:val="264"/>
        </w:trPr>
        <w:tc>
          <w:tcPr>
            <w:tcW w:w="8046"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Amortisation of intangible fixed assets</w:t>
            </w:r>
          </w:p>
        </w:tc>
        <w:tc>
          <w:tcPr>
            <w:tcW w:w="1593" w:type="dxa"/>
            <w:gridSpan w:val="2"/>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860</w:t>
            </w:r>
          </w:p>
        </w:tc>
      </w:tr>
      <w:tr w:rsidR="00B44B33" w:rsidRPr="00DD509F" w:rsidTr="00D465DD">
        <w:tblPrEx>
          <w:tblCellMar>
            <w:left w:w="0" w:type="dxa"/>
            <w:right w:w="0" w:type="dxa"/>
          </w:tblCellMar>
        </w:tblPrEx>
        <w:trPr>
          <w:trHeight w:hRule="exact" w:val="259"/>
        </w:trPr>
        <w:tc>
          <w:tcPr>
            <w:tcW w:w="8046"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Depreciation of property, plant and equipment</w:t>
            </w:r>
          </w:p>
        </w:tc>
        <w:tc>
          <w:tcPr>
            <w:tcW w:w="1593" w:type="dxa"/>
            <w:gridSpan w:val="2"/>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349</w:t>
            </w:r>
          </w:p>
        </w:tc>
      </w:tr>
      <w:tr w:rsidR="00B44B33" w:rsidRPr="00DD509F" w:rsidTr="00D465DD">
        <w:tblPrEx>
          <w:tblCellMar>
            <w:left w:w="0" w:type="dxa"/>
            <w:right w:w="0" w:type="dxa"/>
          </w:tblCellMar>
        </w:tblPrEx>
        <w:trPr>
          <w:trHeight w:hRule="exact" w:val="259"/>
        </w:trPr>
        <w:tc>
          <w:tcPr>
            <w:tcW w:w="8046"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Profit on disposal of players’ registrations</w:t>
            </w:r>
          </w:p>
        </w:tc>
        <w:tc>
          <w:tcPr>
            <w:tcW w:w="1593" w:type="dxa"/>
            <w:gridSpan w:val="2"/>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(62)</w:t>
            </w:r>
          </w:p>
        </w:tc>
      </w:tr>
      <w:tr w:rsidR="00B44B33" w:rsidRPr="00DD509F" w:rsidTr="00D465DD">
        <w:tblPrEx>
          <w:tblCellMar>
            <w:left w:w="0" w:type="dxa"/>
            <w:right w:w="0" w:type="dxa"/>
          </w:tblCellMar>
        </w:tblPrEx>
        <w:trPr>
          <w:trHeight w:hRule="exact" w:val="259"/>
        </w:trPr>
        <w:tc>
          <w:tcPr>
            <w:tcW w:w="8046"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Financing costs</w:t>
            </w:r>
          </w:p>
        </w:tc>
        <w:tc>
          <w:tcPr>
            <w:tcW w:w="1593" w:type="dxa"/>
            <w:gridSpan w:val="2"/>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234</w:t>
            </w:r>
          </w:p>
        </w:tc>
      </w:tr>
      <w:tr w:rsidR="00B44B33" w:rsidRPr="00DD509F" w:rsidTr="00D465DD">
        <w:tblPrEx>
          <w:tblCellMar>
            <w:left w:w="0" w:type="dxa"/>
            <w:right w:w="0" w:type="dxa"/>
          </w:tblCellMar>
        </w:tblPrEx>
        <w:trPr>
          <w:trHeight w:hRule="exact" w:val="260"/>
        </w:trPr>
        <w:tc>
          <w:tcPr>
            <w:tcW w:w="8046"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Negative goodwill released to income</w:t>
            </w:r>
          </w:p>
        </w:tc>
        <w:tc>
          <w:tcPr>
            <w:tcW w:w="1593" w:type="dxa"/>
            <w:gridSpan w:val="2"/>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(20,465)</w:t>
            </w:r>
          </w:p>
        </w:tc>
      </w:tr>
      <w:tr w:rsidR="00B44B33" w:rsidRPr="00DD509F" w:rsidTr="00D465DD">
        <w:tblPrEx>
          <w:tblCellMar>
            <w:left w:w="0" w:type="dxa"/>
            <w:right w:w="0" w:type="dxa"/>
          </w:tblCellMar>
        </w:tblPrEx>
        <w:trPr>
          <w:trHeight w:hRule="exact" w:val="278"/>
        </w:trPr>
        <w:tc>
          <w:tcPr>
            <w:tcW w:w="8046"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Increase in trade and other receivables</w:t>
            </w:r>
          </w:p>
        </w:tc>
        <w:tc>
          <w:tcPr>
            <w:tcW w:w="1593" w:type="dxa"/>
            <w:gridSpan w:val="2"/>
            <w:tcBorders>
              <w:top w:val="nil"/>
              <w:left w:val="nil"/>
              <w:bottom w:val="nil"/>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(3,068)</w:t>
            </w:r>
          </w:p>
        </w:tc>
      </w:tr>
      <w:tr w:rsidR="00B44B33" w:rsidRPr="00DD509F" w:rsidTr="00D465DD">
        <w:tblPrEx>
          <w:tblCellMar>
            <w:left w:w="0" w:type="dxa"/>
            <w:right w:w="0" w:type="dxa"/>
          </w:tblCellMar>
        </w:tblPrEx>
        <w:trPr>
          <w:trHeight w:hRule="exact" w:val="288"/>
        </w:trPr>
        <w:tc>
          <w:tcPr>
            <w:tcW w:w="8046"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Increase in trade and other payables</w:t>
            </w:r>
          </w:p>
        </w:tc>
        <w:tc>
          <w:tcPr>
            <w:tcW w:w="1593" w:type="dxa"/>
            <w:gridSpan w:val="2"/>
            <w:tcBorders>
              <w:top w:val="nil"/>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11,919</w:t>
            </w:r>
          </w:p>
        </w:tc>
      </w:tr>
      <w:tr w:rsidR="00B44B33" w:rsidRPr="00DD509F" w:rsidTr="00D465DD">
        <w:tblPrEx>
          <w:tblCellMar>
            <w:left w:w="0" w:type="dxa"/>
            <w:right w:w="0" w:type="dxa"/>
          </w:tblCellMar>
        </w:tblPrEx>
        <w:trPr>
          <w:trHeight w:hRule="exact" w:val="394"/>
        </w:trPr>
        <w:tc>
          <w:tcPr>
            <w:tcW w:w="8046" w:type="dxa"/>
            <w:tcBorders>
              <w:top w:val="nil"/>
              <w:left w:val="nil"/>
              <w:bottom w:val="nil"/>
              <w:right w:val="nil"/>
            </w:tcBorders>
          </w:tcPr>
          <w:p w:rsidR="00B44B33" w:rsidRPr="00DD509F" w:rsidRDefault="00B44B33" w:rsidP="00177AD8">
            <w:pPr>
              <w:rPr>
                <w:rFonts w:ascii="Arial" w:hAnsi="Arial" w:cs="Arial"/>
                <w:sz w:val="20"/>
                <w:szCs w:val="20"/>
              </w:rPr>
            </w:pPr>
            <w:r w:rsidRPr="00DD509F">
              <w:rPr>
                <w:rFonts w:ascii="Arial" w:hAnsi="Arial" w:cs="Arial"/>
                <w:sz w:val="20"/>
                <w:szCs w:val="20"/>
              </w:rPr>
              <w:t xml:space="preserve">Cash </w:t>
            </w:r>
            <w:r>
              <w:rPr>
                <w:rFonts w:ascii="Arial" w:hAnsi="Arial" w:cs="Arial"/>
                <w:sz w:val="20"/>
                <w:szCs w:val="20"/>
              </w:rPr>
              <w:t>used in</w:t>
            </w:r>
            <w:r w:rsidRPr="00DD509F">
              <w:rPr>
                <w:rFonts w:ascii="Arial" w:hAnsi="Arial" w:cs="Arial"/>
                <w:sz w:val="20"/>
                <w:szCs w:val="20"/>
              </w:rPr>
              <w:t xml:space="preserve"> operations</w:t>
            </w:r>
          </w:p>
        </w:tc>
        <w:tc>
          <w:tcPr>
            <w:tcW w:w="1593" w:type="dxa"/>
            <w:gridSpan w:val="2"/>
            <w:tcBorders>
              <w:top w:val="single" w:sz="2" w:space="0" w:color="auto"/>
              <w:left w:val="nil"/>
              <w:bottom w:val="single" w:sz="2" w:space="0" w:color="auto"/>
              <w:right w:val="nil"/>
            </w:tcBorders>
          </w:tcPr>
          <w:p w:rsidR="00B44B33" w:rsidRPr="00DD509F" w:rsidRDefault="00B44B33" w:rsidP="00177AD8">
            <w:pPr>
              <w:jc w:val="right"/>
              <w:rPr>
                <w:rFonts w:ascii="Arial" w:hAnsi="Arial" w:cs="Arial"/>
                <w:sz w:val="20"/>
                <w:szCs w:val="20"/>
              </w:rPr>
            </w:pPr>
            <w:r w:rsidRPr="00DD509F">
              <w:rPr>
                <w:rFonts w:ascii="Arial" w:hAnsi="Arial" w:cs="Arial"/>
                <w:sz w:val="20"/>
                <w:szCs w:val="20"/>
              </w:rPr>
              <w:t>(713)</w:t>
            </w:r>
          </w:p>
        </w:tc>
      </w:tr>
    </w:tbl>
    <w:p w:rsidR="00B44B33" w:rsidRDefault="00B44B33" w:rsidP="00177AD8">
      <w:pPr>
        <w:rPr>
          <w:rFonts w:ascii="Arial" w:hAnsi="Arial" w:cs="Arial"/>
          <w:b/>
          <w:bCs/>
          <w:sz w:val="20"/>
          <w:szCs w:val="20"/>
        </w:rPr>
      </w:pPr>
    </w:p>
    <w:p w:rsidR="00B44B33" w:rsidRDefault="00B44B33" w:rsidP="00177AD8">
      <w:pPr>
        <w:rPr>
          <w:rFonts w:ascii="Arial" w:hAnsi="Arial" w:cs="Arial"/>
          <w:b/>
          <w:bCs/>
          <w:sz w:val="20"/>
          <w:szCs w:val="20"/>
        </w:rPr>
      </w:pPr>
      <w:r w:rsidRPr="00DD509F">
        <w:rPr>
          <w:rFonts w:ascii="Arial" w:hAnsi="Arial" w:cs="Arial"/>
          <w:b/>
          <w:bCs/>
          <w:sz w:val="20"/>
          <w:szCs w:val="20"/>
        </w:rPr>
        <w:t>16</w:t>
      </w:r>
      <w:r>
        <w:rPr>
          <w:rFonts w:ascii="Arial" w:hAnsi="Arial" w:cs="Arial"/>
          <w:b/>
          <w:bCs/>
          <w:sz w:val="20"/>
          <w:szCs w:val="20"/>
        </w:rPr>
        <w:t>.</w:t>
      </w:r>
      <w:r w:rsidRPr="00DD509F">
        <w:rPr>
          <w:rFonts w:ascii="Arial" w:hAnsi="Arial" w:cs="Arial"/>
          <w:b/>
          <w:bCs/>
          <w:sz w:val="20"/>
          <w:szCs w:val="20"/>
        </w:rPr>
        <w:t xml:space="preserve"> Related Party Transactions</w:t>
      </w:r>
    </w:p>
    <w:p w:rsidR="00B44B33" w:rsidRPr="00DD509F" w:rsidRDefault="00B44B33" w:rsidP="00177AD8">
      <w:pPr>
        <w:rPr>
          <w:rFonts w:ascii="Arial" w:hAnsi="Arial" w:cs="Arial"/>
          <w:b/>
          <w:bCs/>
          <w:sz w:val="20"/>
          <w:szCs w:val="20"/>
        </w:rPr>
      </w:pPr>
    </w:p>
    <w:p w:rsidR="00B44B33" w:rsidRDefault="00B44B33" w:rsidP="00177AD8">
      <w:pPr>
        <w:jc w:val="both"/>
        <w:rPr>
          <w:rFonts w:ascii="Arial" w:hAnsi="Arial" w:cs="Arial"/>
          <w:sz w:val="20"/>
          <w:szCs w:val="20"/>
        </w:rPr>
      </w:pPr>
      <w:r w:rsidRPr="00DD509F">
        <w:rPr>
          <w:rFonts w:ascii="Arial" w:hAnsi="Arial" w:cs="Arial"/>
          <w:sz w:val="20"/>
          <w:szCs w:val="20"/>
        </w:rPr>
        <w:t xml:space="preserve">On 6 August 2012, Brian Stockbridge, a director of RFCL provided a loan of £50,000 to RFCL. No interest accrued on this balance which was repaid on 7 August 2012. Brian Stockbridge also received a </w:t>
      </w:r>
      <w:r w:rsidRPr="00DD509F">
        <w:rPr>
          <w:rFonts w:ascii="Arial" w:hAnsi="Arial" w:cs="Arial"/>
          <w:spacing w:val="-2"/>
          <w:sz w:val="20"/>
          <w:szCs w:val="20"/>
        </w:rPr>
        <w:t>payment of £30,000 for the period from 14 June 201</w:t>
      </w:r>
      <w:r>
        <w:rPr>
          <w:rFonts w:ascii="Arial" w:hAnsi="Arial" w:cs="Arial"/>
          <w:spacing w:val="-2"/>
          <w:sz w:val="20"/>
          <w:szCs w:val="20"/>
        </w:rPr>
        <w:t>2</w:t>
      </w:r>
      <w:r w:rsidRPr="00DD509F">
        <w:rPr>
          <w:rFonts w:ascii="Arial" w:hAnsi="Arial" w:cs="Arial"/>
          <w:spacing w:val="-2"/>
          <w:sz w:val="20"/>
          <w:szCs w:val="20"/>
        </w:rPr>
        <w:t xml:space="preserve"> to 31 December 2012 with respect to his consultancy</w:t>
      </w:r>
      <w:r w:rsidRPr="00DD509F">
        <w:rPr>
          <w:rFonts w:ascii="Arial" w:hAnsi="Arial" w:cs="Arial"/>
          <w:sz w:val="20"/>
          <w:szCs w:val="20"/>
        </w:rPr>
        <w:t xml:space="preserve"> services as a director.</w:t>
      </w:r>
    </w:p>
    <w:p w:rsidR="00B44B33" w:rsidRPr="00DD509F" w:rsidRDefault="00B44B33" w:rsidP="00177AD8">
      <w:pPr>
        <w:jc w:val="both"/>
        <w:rPr>
          <w:rFonts w:ascii="Arial" w:hAnsi="Arial" w:cs="Arial"/>
          <w:sz w:val="20"/>
          <w:szCs w:val="20"/>
        </w:rPr>
      </w:pPr>
    </w:p>
    <w:p w:rsidR="00B44B33" w:rsidRDefault="00B44B33" w:rsidP="00177AD8">
      <w:pPr>
        <w:jc w:val="both"/>
        <w:rPr>
          <w:rFonts w:ascii="Arial" w:hAnsi="Arial" w:cs="Arial"/>
          <w:sz w:val="20"/>
          <w:szCs w:val="20"/>
        </w:rPr>
      </w:pPr>
      <w:r w:rsidRPr="00DD509F">
        <w:rPr>
          <w:rFonts w:ascii="Arial" w:hAnsi="Arial" w:cs="Arial"/>
          <w:spacing w:val="-2"/>
          <w:sz w:val="20"/>
          <w:szCs w:val="20"/>
        </w:rPr>
        <w:t>The following balances were novated from Sevco 5088 Limited (a company of which Charles Green was</w:t>
      </w:r>
      <w:r w:rsidRPr="00DD509F">
        <w:rPr>
          <w:rFonts w:ascii="Arial" w:hAnsi="Arial" w:cs="Arial"/>
          <w:sz w:val="20"/>
          <w:szCs w:val="20"/>
        </w:rPr>
        <w:t xml:space="preserve"> the sole shareholder and hence a related party) on 29 May 2012 to RFCL, hence the dates are before incorporation of RFCL</w:t>
      </w:r>
      <w:r>
        <w:rPr>
          <w:rFonts w:ascii="Arial" w:hAnsi="Arial" w:cs="Arial"/>
          <w:sz w:val="20"/>
          <w:szCs w:val="20"/>
        </w:rPr>
        <w:t xml:space="preserve"> and RIFC plc</w:t>
      </w:r>
      <w:r w:rsidRPr="00DD509F">
        <w:rPr>
          <w:rFonts w:ascii="Arial" w:hAnsi="Arial" w:cs="Arial"/>
          <w:sz w:val="20"/>
          <w:szCs w:val="20"/>
        </w:rPr>
        <w:t>:</w:t>
      </w:r>
    </w:p>
    <w:p w:rsidR="00B44B33" w:rsidRPr="00DD509F" w:rsidRDefault="00B44B33" w:rsidP="00177AD8">
      <w:pPr>
        <w:jc w:val="both"/>
        <w:rPr>
          <w:rFonts w:ascii="Arial" w:hAnsi="Arial" w:cs="Arial"/>
          <w:sz w:val="20"/>
          <w:szCs w:val="20"/>
        </w:rPr>
      </w:pPr>
    </w:p>
    <w:p w:rsidR="00B44B33" w:rsidRPr="00DD509F" w:rsidRDefault="00B44B33" w:rsidP="00177AD8">
      <w:pPr>
        <w:numPr>
          <w:ilvl w:val="0"/>
          <w:numId w:val="8"/>
        </w:numPr>
        <w:ind w:left="0" w:firstLine="0"/>
        <w:jc w:val="both"/>
        <w:rPr>
          <w:rFonts w:ascii="Arial" w:hAnsi="Arial" w:cs="Arial"/>
          <w:sz w:val="20"/>
          <w:szCs w:val="20"/>
        </w:rPr>
      </w:pPr>
      <w:r w:rsidRPr="00DD509F">
        <w:rPr>
          <w:rFonts w:ascii="Arial" w:hAnsi="Arial" w:cs="Arial"/>
          <w:sz w:val="20"/>
          <w:szCs w:val="20"/>
        </w:rPr>
        <w:t xml:space="preserve">On 11 May 2012, Imran Ahmad, a director of RFCL, provided a loan of £200,000. £ 178,000 was </w:t>
      </w:r>
      <w:r w:rsidRPr="00DD509F">
        <w:rPr>
          <w:rFonts w:ascii="Arial" w:hAnsi="Arial" w:cs="Arial"/>
          <w:spacing w:val="-2"/>
          <w:sz w:val="20"/>
          <w:szCs w:val="20"/>
        </w:rPr>
        <w:t>repaid on 15 August 2012 and £22,000 was converted into ordinary share capital of RFCL. Imran</w:t>
      </w:r>
      <w:r w:rsidRPr="00DD509F">
        <w:rPr>
          <w:rFonts w:ascii="Arial" w:hAnsi="Arial" w:cs="Arial"/>
          <w:sz w:val="20"/>
          <w:szCs w:val="20"/>
        </w:rPr>
        <w:t xml:space="preserve"> Ahmad also received an arrangement fee of £50,000 relating to this loan.</w:t>
      </w:r>
    </w:p>
    <w:p w:rsidR="00B44B33" w:rsidRPr="00DD509F" w:rsidRDefault="00B44B33" w:rsidP="00177AD8">
      <w:pPr>
        <w:numPr>
          <w:ilvl w:val="0"/>
          <w:numId w:val="9"/>
        </w:numPr>
        <w:ind w:left="0" w:firstLine="0"/>
        <w:jc w:val="both"/>
        <w:rPr>
          <w:rFonts w:ascii="Arial" w:hAnsi="Arial" w:cs="Arial"/>
          <w:sz w:val="20"/>
          <w:szCs w:val="20"/>
        </w:rPr>
      </w:pPr>
      <w:r w:rsidRPr="00DD509F">
        <w:rPr>
          <w:rFonts w:ascii="Arial" w:hAnsi="Arial" w:cs="Arial"/>
          <w:sz w:val="20"/>
          <w:szCs w:val="20"/>
        </w:rPr>
        <w:t>On 21 May 2012, Charles Green, a Director of RFCL provided a loan of £25,000. No interest accrued on this balance and this was repaid on 15 August 2012.</w:t>
      </w:r>
    </w:p>
    <w:p w:rsidR="00B44B33" w:rsidRDefault="00B44B33" w:rsidP="00177AD8">
      <w:pPr>
        <w:rPr>
          <w:rFonts w:ascii="Arial" w:hAnsi="Arial" w:cs="Arial"/>
          <w:b/>
          <w:bCs/>
          <w:color w:val="3366FF"/>
          <w:sz w:val="20"/>
          <w:szCs w:val="20"/>
        </w:rPr>
      </w:pPr>
    </w:p>
    <w:p w:rsidR="00B44B33" w:rsidRPr="00AB6B64" w:rsidRDefault="00B44B33" w:rsidP="00177AD8">
      <w:pPr>
        <w:rPr>
          <w:rFonts w:ascii="Arial" w:hAnsi="Arial" w:cs="Arial"/>
          <w:sz w:val="20"/>
          <w:szCs w:val="20"/>
        </w:rPr>
      </w:pPr>
      <w:r w:rsidRPr="00AE07D8">
        <w:rPr>
          <w:rFonts w:ascii="Arial" w:hAnsi="Arial" w:cs="Arial"/>
          <w:b/>
          <w:bCs/>
          <w:sz w:val="20"/>
          <w:szCs w:val="20"/>
        </w:rPr>
        <w:t>17. Post Balance Sheet Events</w:t>
      </w:r>
    </w:p>
    <w:p w:rsidR="00B44B33" w:rsidRPr="00AE07D8" w:rsidRDefault="00B44B33" w:rsidP="00177AD8">
      <w:pPr>
        <w:jc w:val="both"/>
        <w:rPr>
          <w:rFonts w:ascii="Arial" w:hAnsi="Arial" w:cs="Arial"/>
          <w:sz w:val="20"/>
          <w:szCs w:val="20"/>
        </w:rPr>
      </w:pPr>
      <w:r w:rsidRPr="00AE07D8">
        <w:rPr>
          <w:rFonts w:ascii="Arial" w:hAnsi="Arial" w:cs="Arial"/>
          <w:sz w:val="20"/>
          <w:szCs w:val="20"/>
        </w:rPr>
        <w:t xml:space="preserve">On 9 January 2013 the Group purchased Edmiston House and the Albion car park for a total cost of £2,412,000. On 28 February 2013, a contract was signed with Puma to manufacture and provide replica strips and other Rangers branded products for season 2013/14. The Club also announced on 1 March 2013 that Blackthorn Cider will sponsor our shirts for season 2013/14. </w:t>
      </w:r>
    </w:p>
    <w:p w:rsidR="00B44B33" w:rsidRPr="00DD509F" w:rsidRDefault="00B44B33" w:rsidP="00D465DD">
      <w:pPr>
        <w:spacing w:before="360"/>
        <w:jc w:val="both"/>
        <w:rPr>
          <w:rFonts w:ascii="Arial" w:hAnsi="Arial" w:cs="Arial"/>
          <w:sz w:val="20"/>
          <w:szCs w:val="20"/>
        </w:rPr>
      </w:pPr>
    </w:p>
    <w:p w:rsidR="00B44B33" w:rsidRPr="00DD509F" w:rsidRDefault="00B44B33" w:rsidP="00196068">
      <w:pPr>
        <w:spacing w:before="108"/>
        <w:rPr>
          <w:rFonts w:ascii="Arial" w:hAnsi="Arial" w:cs="Arial"/>
          <w:sz w:val="20"/>
          <w:szCs w:val="20"/>
        </w:rPr>
      </w:pPr>
    </w:p>
    <w:p w:rsidR="00B44B33" w:rsidRPr="00DD509F" w:rsidRDefault="00B44B33" w:rsidP="00196068">
      <w:pPr>
        <w:spacing w:before="108"/>
        <w:rPr>
          <w:rFonts w:ascii="Arial" w:hAnsi="Arial" w:cs="Arial"/>
          <w:sz w:val="20"/>
          <w:szCs w:val="20"/>
        </w:rPr>
      </w:pPr>
    </w:p>
    <w:p w:rsidR="00B44B33" w:rsidRPr="00DD509F" w:rsidRDefault="00B44B33" w:rsidP="00196068">
      <w:pPr>
        <w:spacing w:before="108"/>
        <w:rPr>
          <w:rFonts w:ascii="Arial" w:hAnsi="Arial" w:cs="Arial"/>
          <w:sz w:val="20"/>
          <w:szCs w:val="20"/>
        </w:rPr>
      </w:pPr>
    </w:p>
    <w:sectPr w:rsidR="00B44B33" w:rsidRPr="00DD509F" w:rsidSect="00F03AE7">
      <w:pgSz w:w="11904" w:h="16843"/>
      <w:pgMar w:top="881" w:right="1249" w:bottom="974" w:left="132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33" w:rsidRDefault="00B44B33">
      <w:r>
        <w:separator/>
      </w:r>
    </w:p>
  </w:endnote>
  <w:endnote w:type="continuationSeparator" w:id="0">
    <w:p w:rsidR="00B44B33" w:rsidRDefault="00B4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33" w:rsidRDefault="007635B4" w:rsidP="009230B3">
    <w:pPr>
      <w:pStyle w:val="Footer"/>
      <w:framePr w:wrap="around" w:vAnchor="text" w:hAnchor="margin" w:xAlign="right" w:y="1"/>
      <w:rPr>
        <w:rStyle w:val="PageNumber"/>
      </w:rPr>
    </w:pPr>
    <w:r>
      <w:rPr>
        <w:rStyle w:val="PageNumber"/>
      </w:rPr>
      <w:fldChar w:fldCharType="begin"/>
    </w:r>
    <w:r w:rsidR="00B44B33">
      <w:rPr>
        <w:rStyle w:val="PageNumber"/>
      </w:rPr>
      <w:instrText xml:space="preserve">PAGE  </w:instrText>
    </w:r>
    <w:r>
      <w:rPr>
        <w:rStyle w:val="PageNumber"/>
      </w:rPr>
      <w:fldChar w:fldCharType="end"/>
    </w:r>
  </w:p>
  <w:p w:rsidR="00B44B33" w:rsidRDefault="00B44B33" w:rsidP="000C61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33" w:rsidRDefault="00B44B33" w:rsidP="006540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33" w:rsidRDefault="00B44B33">
      <w:r>
        <w:separator/>
      </w:r>
    </w:p>
  </w:footnote>
  <w:footnote w:type="continuationSeparator" w:id="0">
    <w:p w:rsidR="00B44B33" w:rsidRDefault="00B44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9D3C"/>
    <w:multiLevelType w:val="singleLevel"/>
    <w:tmpl w:val="70E03DE9"/>
    <w:lvl w:ilvl="0">
      <w:numFmt w:val="bullet"/>
      <w:lvlText w:val="·"/>
      <w:lvlJc w:val="left"/>
      <w:pPr>
        <w:tabs>
          <w:tab w:val="num" w:pos="1080"/>
        </w:tabs>
        <w:ind w:left="1080" w:hanging="504"/>
      </w:pPr>
      <w:rPr>
        <w:rFonts w:ascii="Symbol" w:hAnsi="Symbol" w:hint="default"/>
        <w:color w:val="000000"/>
      </w:rPr>
    </w:lvl>
  </w:abstractNum>
  <w:abstractNum w:abstractNumId="1">
    <w:nsid w:val="10CB23E6"/>
    <w:multiLevelType w:val="singleLevel"/>
    <w:tmpl w:val="48B287FF"/>
    <w:lvl w:ilvl="0">
      <w:numFmt w:val="bullet"/>
      <w:lvlText w:val="·"/>
      <w:lvlJc w:val="left"/>
      <w:pPr>
        <w:tabs>
          <w:tab w:val="num" w:pos="576"/>
        </w:tabs>
        <w:ind w:left="576" w:hanging="576"/>
      </w:pPr>
      <w:rPr>
        <w:rFonts w:ascii="Symbol" w:hAnsi="Symbol" w:hint="default"/>
        <w:color w:val="000000"/>
      </w:rPr>
    </w:lvl>
  </w:abstractNum>
  <w:abstractNum w:abstractNumId="2">
    <w:nsid w:val="1252A159"/>
    <w:multiLevelType w:val="singleLevel"/>
    <w:tmpl w:val="2E869114"/>
    <w:lvl w:ilvl="0">
      <w:start w:val="1"/>
      <w:numFmt w:val="decimal"/>
      <w:lvlText w:val="%1."/>
      <w:lvlJc w:val="left"/>
      <w:pPr>
        <w:tabs>
          <w:tab w:val="num" w:pos="576"/>
        </w:tabs>
      </w:pPr>
      <w:rPr>
        <w:rFonts w:cs="Times New Roman"/>
        <w:color w:val="000000"/>
      </w:rPr>
    </w:lvl>
  </w:abstractNum>
  <w:abstractNum w:abstractNumId="3">
    <w:nsid w:val="19C5FAF8"/>
    <w:multiLevelType w:val="singleLevel"/>
    <w:tmpl w:val="02B00B4B"/>
    <w:lvl w:ilvl="0">
      <w:start w:val="27"/>
      <w:numFmt w:val="decimal"/>
      <w:lvlText w:val="%1."/>
      <w:lvlJc w:val="left"/>
      <w:pPr>
        <w:tabs>
          <w:tab w:val="num" w:pos="576"/>
        </w:tabs>
      </w:pPr>
      <w:rPr>
        <w:rFonts w:cs="Times New Roman"/>
        <w:color w:val="000000"/>
      </w:rPr>
    </w:lvl>
  </w:abstractNum>
  <w:abstractNum w:abstractNumId="4">
    <w:nsid w:val="22955C22"/>
    <w:multiLevelType w:val="hybridMultilevel"/>
    <w:tmpl w:val="BEC4E5C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25DE772C"/>
    <w:multiLevelType w:val="hybridMultilevel"/>
    <w:tmpl w:val="30B4C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1111BB"/>
    <w:multiLevelType w:val="hybridMultilevel"/>
    <w:tmpl w:val="0EAEA74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37EE95F2"/>
    <w:multiLevelType w:val="singleLevel"/>
    <w:tmpl w:val="248D312A"/>
    <w:lvl w:ilvl="0">
      <w:start w:val="3"/>
      <w:numFmt w:val="lowerLetter"/>
      <w:lvlText w:val="(%1)"/>
      <w:lvlJc w:val="left"/>
      <w:pPr>
        <w:tabs>
          <w:tab w:val="num" w:pos="576"/>
        </w:tabs>
      </w:pPr>
      <w:rPr>
        <w:rFonts w:cs="Times New Roman"/>
        <w:color w:val="000000"/>
      </w:rPr>
    </w:lvl>
  </w:abstractNum>
  <w:abstractNum w:abstractNumId="8">
    <w:nsid w:val="4DD3419E"/>
    <w:multiLevelType w:val="singleLevel"/>
    <w:tmpl w:val="13B4EA5D"/>
    <w:lvl w:ilvl="0">
      <w:numFmt w:val="bullet"/>
      <w:lvlText w:val="·"/>
      <w:lvlJc w:val="left"/>
      <w:pPr>
        <w:tabs>
          <w:tab w:val="num" w:pos="1080"/>
        </w:tabs>
        <w:ind w:left="1080" w:hanging="504"/>
      </w:pPr>
      <w:rPr>
        <w:rFonts w:ascii="Symbol" w:hAnsi="Symbol" w:hint="default"/>
        <w:color w:val="000000"/>
      </w:rPr>
    </w:lvl>
  </w:abstractNum>
  <w:abstractNum w:abstractNumId="9">
    <w:nsid w:val="65083F23"/>
    <w:multiLevelType w:val="hybridMultilevel"/>
    <w:tmpl w:val="B7D6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F18DDE"/>
    <w:multiLevelType w:val="singleLevel"/>
    <w:tmpl w:val="43B61192"/>
    <w:lvl w:ilvl="0">
      <w:numFmt w:val="bullet"/>
      <w:lvlText w:val="§"/>
      <w:lvlJc w:val="left"/>
      <w:pPr>
        <w:tabs>
          <w:tab w:val="num" w:pos="576"/>
        </w:tabs>
        <w:ind w:left="576" w:hanging="576"/>
      </w:pPr>
      <w:rPr>
        <w:rFonts w:ascii="Wingdings" w:hAnsi="Wingdings" w:hint="default"/>
        <w:color w:val="000000"/>
      </w:rPr>
    </w:lvl>
  </w:abstractNum>
  <w:abstractNum w:abstractNumId="11">
    <w:nsid w:val="6BBA5A5C"/>
    <w:multiLevelType w:val="singleLevel"/>
    <w:tmpl w:val="35D55DDA"/>
    <w:lvl w:ilvl="0">
      <w:numFmt w:val="bullet"/>
      <w:lvlText w:val="§"/>
      <w:lvlJc w:val="left"/>
      <w:pPr>
        <w:tabs>
          <w:tab w:val="num" w:pos="576"/>
        </w:tabs>
        <w:ind w:left="576" w:hanging="576"/>
      </w:pPr>
      <w:rPr>
        <w:rFonts w:ascii="Wingdings" w:hAnsi="Wingdings" w:hint="default"/>
        <w:color w:val="000000"/>
      </w:rPr>
    </w:lvl>
  </w:abstractNum>
  <w:abstractNum w:abstractNumId="12">
    <w:nsid w:val="7A6B8E89"/>
    <w:multiLevelType w:val="singleLevel"/>
    <w:tmpl w:val="7A38A9D1"/>
    <w:lvl w:ilvl="0">
      <w:numFmt w:val="bullet"/>
      <w:lvlText w:val="·"/>
      <w:lvlJc w:val="left"/>
      <w:pPr>
        <w:tabs>
          <w:tab w:val="num" w:pos="576"/>
        </w:tabs>
        <w:ind w:left="576" w:hanging="576"/>
      </w:pPr>
      <w:rPr>
        <w:rFonts w:ascii="Symbol" w:hAnsi="Symbol" w:hint="default"/>
        <w:color w:val="000000"/>
      </w:rPr>
    </w:lvl>
  </w:abstractNum>
  <w:num w:numId="1">
    <w:abstractNumId w:val="2"/>
  </w:num>
  <w:num w:numId="2">
    <w:abstractNumId w:val="10"/>
  </w:num>
  <w:num w:numId="3">
    <w:abstractNumId w:val="11"/>
  </w:num>
  <w:num w:numId="4">
    <w:abstractNumId w:val="7"/>
  </w:num>
  <w:num w:numId="5">
    <w:abstractNumId w:val="0"/>
  </w:num>
  <w:num w:numId="6">
    <w:abstractNumId w:val="8"/>
  </w:num>
  <w:num w:numId="7">
    <w:abstractNumId w:val="3"/>
  </w:num>
  <w:num w:numId="8">
    <w:abstractNumId w:val="12"/>
  </w:num>
  <w:num w:numId="9">
    <w:abstractNumId w:val="1"/>
  </w:num>
  <w:num w:numId="10">
    <w:abstractNumId w:val="6"/>
  </w:num>
  <w:num w:numId="11">
    <w:abstractNumId w:val="5"/>
  </w:num>
  <w:num w:numId="12">
    <w:abstractNumId w:val="9"/>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68"/>
    <w:rsid w:val="00000FC0"/>
    <w:rsid w:val="00006A4C"/>
    <w:rsid w:val="00010745"/>
    <w:rsid w:val="00011596"/>
    <w:rsid w:val="00014DD6"/>
    <w:rsid w:val="00024378"/>
    <w:rsid w:val="00027B11"/>
    <w:rsid w:val="000364FD"/>
    <w:rsid w:val="00037161"/>
    <w:rsid w:val="000461E8"/>
    <w:rsid w:val="00054C2D"/>
    <w:rsid w:val="000577A8"/>
    <w:rsid w:val="00071CD0"/>
    <w:rsid w:val="00072301"/>
    <w:rsid w:val="0007519A"/>
    <w:rsid w:val="000810D4"/>
    <w:rsid w:val="00086427"/>
    <w:rsid w:val="000A5242"/>
    <w:rsid w:val="000B2072"/>
    <w:rsid w:val="000C08F9"/>
    <w:rsid w:val="000C3496"/>
    <w:rsid w:val="000C61D6"/>
    <w:rsid w:val="000D0BC3"/>
    <w:rsid w:val="000D4649"/>
    <w:rsid w:val="000F50EC"/>
    <w:rsid w:val="000F6078"/>
    <w:rsid w:val="00105EE0"/>
    <w:rsid w:val="00116BE5"/>
    <w:rsid w:val="001329A7"/>
    <w:rsid w:val="0013767D"/>
    <w:rsid w:val="00137966"/>
    <w:rsid w:val="00140A7B"/>
    <w:rsid w:val="0014181B"/>
    <w:rsid w:val="00147CD2"/>
    <w:rsid w:val="001501F2"/>
    <w:rsid w:val="00162C3C"/>
    <w:rsid w:val="00177AD8"/>
    <w:rsid w:val="001829AB"/>
    <w:rsid w:val="001858CE"/>
    <w:rsid w:val="00196068"/>
    <w:rsid w:val="001B5F76"/>
    <w:rsid w:val="001C3DCC"/>
    <w:rsid w:val="001E42C9"/>
    <w:rsid w:val="001F6C10"/>
    <w:rsid w:val="002065D0"/>
    <w:rsid w:val="002263E2"/>
    <w:rsid w:val="00263427"/>
    <w:rsid w:val="00277213"/>
    <w:rsid w:val="00277C05"/>
    <w:rsid w:val="002866C1"/>
    <w:rsid w:val="00290A00"/>
    <w:rsid w:val="002940D1"/>
    <w:rsid w:val="002B3112"/>
    <w:rsid w:val="002B4EC1"/>
    <w:rsid w:val="002B7BC8"/>
    <w:rsid w:val="002C7B6F"/>
    <w:rsid w:val="002E5296"/>
    <w:rsid w:val="002F604A"/>
    <w:rsid w:val="002F6EB4"/>
    <w:rsid w:val="00300F21"/>
    <w:rsid w:val="0031571B"/>
    <w:rsid w:val="003233F9"/>
    <w:rsid w:val="00325892"/>
    <w:rsid w:val="00333948"/>
    <w:rsid w:val="003561AF"/>
    <w:rsid w:val="00385921"/>
    <w:rsid w:val="00394CEE"/>
    <w:rsid w:val="00395F32"/>
    <w:rsid w:val="003A4615"/>
    <w:rsid w:val="003B29CA"/>
    <w:rsid w:val="003B2E2A"/>
    <w:rsid w:val="003B3629"/>
    <w:rsid w:val="003C27CE"/>
    <w:rsid w:val="003C742A"/>
    <w:rsid w:val="003D0D56"/>
    <w:rsid w:val="003E31BB"/>
    <w:rsid w:val="003F0F70"/>
    <w:rsid w:val="003F3D38"/>
    <w:rsid w:val="00415EB8"/>
    <w:rsid w:val="00425A8C"/>
    <w:rsid w:val="0042717E"/>
    <w:rsid w:val="00440853"/>
    <w:rsid w:val="00445F50"/>
    <w:rsid w:val="00446B21"/>
    <w:rsid w:val="004527C8"/>
    <w:rsid w:val="0046192A"/>
    <w:rsid w:val="0046373D"/>
    <w:rsid w:val="00464984"/>
    <w:rsid w:val="0048664F"/>
    <w:rsid w:val="004B503C"/>
    <w:rsid w:val="004D2363"/>
    <w:rsid w:val="004F0CED"/>
    <w:rsid w:val="004F24A9"/>
    <w:rsid w:val="004F4DA3"/>
    <w:rsid w:val="0051134E"/>
    <w:rsid w:val="005146C6"/>
    <w:rsid w:val="00530CF2"/>
    <w:rsid w:val="0053505A"/>
    <w:rsid w:val="00536FF3"/>
    <w:rsid w:val="00540593"/>
    <w:rsid w:val="00545870"/>
    <w:rsid w:val="0056030B"/>
    <w:rsid w:val="005673DE"/>
    <w:rsid w:val="00573EAA"/>
    <w:rsid w:val="005834FF"/>
    <w:rsid w:val="00590812"/>
    <w:rsid w:val="00593131"/>
    <w:rsid w:val="00595D68"/>
    <w:rsid w:val="00596536"/>
    <w:rsid w:val="00597214"/>
    <w:rsid w:val="005C1A07"/>
    <w:rsid w:val="005D59B2"/>
    <w:rsid w:val="006126F5"/>
    <w:rsid w:val="0062210C"/>
    <w:rsid w:val="00636BCB"/>
    <w:rsid w:val="006374E2"/>
    <w:rsid w:val="006540D7"/>
    <w:rsid w:val="006841C9"/>
    <w:rsid w:val="0069514B"/>
    <w:rsid w:val="006A2D6C"/>
    <w:rsid w:val="006B322E"/>
    <w:rsid w:val="006C501D"/>
    <w:rsid w:val="006E0377"/>
    <w:rsid w:val="006F3CE6"/>
    <w:rsid w:val="00700F3E"/>
    <w:rsid w:val="00701B14"/>
    <w:rsid w:val="0070742B"/>
    <w:rsid w:val="00713765"/>
    <w:rsid w:val="00726EF8"/>
    <w:rsid w:val="00736564"/>
    <w:rsid w:val="0075450F"/>
    <w:rsid w:val="00762AFD"/>
    <w:rsid w:val="007635B4"/>
    <w:rsid w:val="007643DD"/>
    <w:rsid w:val="00770469"/>
    <w:rsid w:val="00790000"/>
    <w:rsid w:val="007B1860"/>
    <w:rsid w:val="007D4168"/>
    <w:rsid w:val="007F12C8"/>
    <w:rsid w:val="00810877"/>
    <w:rsid w:val="00813261"/>
    <w:rsid w:val="0081467F"/>
    <w:rsid w:val="00814FA8"/>
    <w:rsid w:val="0081525B"/>
    <w:rsid w:val="008465FA"/>
    <w:rsid w:val="00884C8B"/>
    <w:rsid w:val="00891F59"/>
    <w:rsid w:val="008D2031"/>
    <w:rsid w:val="008E48D1"/>
    <w:rsid w:val="00903BF6"/>
    <w:rsid w:val="009040B1"/>
    <w:rsid w:val="00910487"/>
    <w:rsid w:val="009230B3"/>
    <w:rsid w:val="0092594E"/>
    <w:rsid w:val="00937441"/>
    <w:rsid w:val="00950280"/>
    <w:rsid w:val="00954054"/>
    <w:rsid w:val="009654A3"/>
    <w:rsid w:val="0096671E"/>
    <w:rsid w:val="00970049"/>
    <w:rsid w:val="0098582C"/>
    <w:rsid w:val="009B1586"/>
    <w:rsid w:val="009B43C6"/>
    <w:rsid w:val="009B47CE"/>
    <w:rsid w:val="009C25F1"/>
    <w:rsid w:val="009C76EE"/>
    <w:rsid w:val="009D24D2"/>
    <w:rsid w:val="009F1790"/>
    <w:rsid w:val="009F51D5"/>
    <w:rsid w:val="00A00F19"/>
    <w:rsid w:val="00A03B0B"/>
    <w:rsid w:val="00A03BAC"/>
    <w:rsid w:val="00A05B4F"/>
    <w:rsid w:val="00A13D6A"/>
    <w:rsid w:val="00A20F16"/>
    <w:rsid w:val="00A27040"/>
    <w:rsid w:val="00A3042D"/>
    <w:rsid w:val="00A3762F"/>
    <w:rsid w:val="00A42A2C"/>
    <w:rsid w:val="00A439CF"/>
    <w:rsid w:val="00A51917"/>
    <w:rsid w:val="00A525A2"/>
    <w:rsid w:val="00A73ABB"/>
    <w:rsid w:val="00A75A6D"/>
    <w:rsid w:val="00A82A77"/>
    <w:rsid w:val="00A851E8"/>
    <w:rsid w:val="00A92098"/>
    <w:rsid w:val="00A92B45"/>
    <w:rsid w:val="00A9328D"/>
    <w:rsid w:val="00AA06BE"/>
    <w:rsid w:val="00AA175A"/>
    <w:rsid w:val="00AA2927"/>
    <w:rsid w:val="00AB6B64"/>
    <w:rsid w:val="00AC1BC7"/>
    <w:rsid w:val="00AC6BB5"/>
    <w:rsid w:val="00AE07D8"/>
    <w:rsid w:val="00AE4D55"/>
    <w:rsid w:val="00AF21AA"/>
    <w:rsid w:val="00AF265D"/>
    <w:rsid w:val="00AF47A2"/>
    <w:rsid w:val="00AF4B9A"/>
    <w:rsid w:val="00AF56A4"/>
    <w:rsid w:val="00B060BB"/>
    <w:rsid w:val="00B24777"/>
    <w:rsid w:val="00B33C18"/>
    <w:rsid w:val="00B44B33"/>
    <w:rsid w:val="00B50982"/>
    <w:rsid w:val="00B5503B"/>
    <w:rsid w:val="00B65B2F"/>
    <w:rsid w:val="00B80AF8"/>
    <w:rsid w:val="00B82C1F"/>
    <w:rsid w:val="00B91349"/>
    <w:rsid w:val="00B94547"/>
    <w:rsid w:val="00B94890"/>
    <w:rsid w:val="00B95CDF"/>
    <w:rsid w:val="00BA44F8"/>
    <w:rsid w:val="00BA6377"/>
    <w:rsid w:val="00BB04FE"/>
    <w:rsid w:val="00BB49DB"/>
    <w:rsid w:val="00BB6753"/>
    <w:rsid w:val="00BC221E"/>
    <w:rsid w:val="00BC2635"/>
    <w:rsid w:val="00BC3BCE"/>
    <w:rsid w:val="00BE1600"/>
    <w:rsid w:val="00BF64E7"/>
    <w:rsid w:val="00C1328B"/>
    <w:rsid w:val="00C1505E"/>
    <w:rsid w:val="00C153A8"/>
    <w:rsid w:val="00C33618"/>
    <w:rsid w:val="00C373FB"/>
    <w:rsid w:val="00C40428"/>
    <w:rsid w:val="00C43B63"/>
    <w:rsid w:val="00C57884"/>
    <w:rsid w:val="00C60CBE"/>
    <w:rsid w:val="00C634C5"/>
    <w:rsid w:val="00C7221F"/>
    <w:rsid w:val="00C83D50"/>
    <w:rsid w:val="00C91FBE"/>
    <w:rsid w:val="00C944CD"/>
    <w:rsid w:val="00C96E5B"/>
    <w:rsid w:val="00CB0D2D"/>
    <w:rsid w:val="00CD03B9"/>
    <w:rsid w:val="00CD2EA0"/>
    <w:rsid w:val="00CE290A"/>
    <w:rsid w:val="00CE7D39"/>
    <w:rsid w:val="00CF7A79"/>
    <w:rsid w:val="00D465DD"/>
    <w:rsid w:val="00D54965"/>
    <w:rsid w:val="00D62641"/>
    <w:rsid w:val="00D712B4"/>
    <w:rsid w:val="00D7683D"/>
    <w:rsid w:val="00D77437"/>
    <w:rsid w:val="00DB49D5"/>
    <w:rsid w:val="00DD3BA7"/>
    <w:rsid w:val="00DD509F"/>
    <w:rsid w:val="00DD516E"/>
    <w:rsid w:val="00DD5E7B"/>
    <w:rsid w:val="00DE750B"/>
    <w:rsid w:val="00DF7164"/>
    <w:rsid w:val="00E0443E"/>
    <w:rsid w:val="00E058F5"/>
    <w:rsid w:val="00E20C1D"/>
    <w:rsid w:val="00E44EDD"/>
    <w:rsid w:val="00E56AD3"/>
    <w:rsid w:val="00E62497"/>
    <w:rsid w:val="00E65920"/>
    <w:rsid w:val="00EA4CDA"/>
    <w:rsid w:val="00EC342E"/>
    <w:rsid w:val="00EC4500"/>
    <w:rsid w:val="00ED1BA3"/>
    <w:rsid w:val="00ED1E8D"/>
    <w:rsid w:val="00ED7618"/>
    <w:rsid w:val="00EF3D80"/>
    <w:rsid w:val="00F03AE7"/>
    <w:rsid w:val="00F6401F"/>
    <w:rsid w:val="00F738AF"/>
    <w:rsid w:val="00F760C0"/>
    <w:rsid w:val="00F82EC1"/>
    <w:rsid w:val="00F871F4"/>
    <w:rsid w:val="00FA17FC"/>
    <w:rsid w:val="00FB024C"/>
    <w:rsid w:val="00FB4379"/>
    <w:rsid w:val="00FB484A"/>
    <w:rsid w:val="00FB78C9"/>
    <w:rsid w:val="00FC427C"/>
    <w:rsid w:val="00FF29F5"/>
    <w:rsid w:val="00FF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68"/>
    <w:pPr>
      <w:widowControl w:val="0"/>
      <w:autoSpaceDE w:val="0"/>
      <w:autoSpaceDN w:val="0"/>
    </w:pPr>
    <w:rPr>
      <w:sz w:val="24"/>
      <w:szCs w:val="24"/>
      <w:lang w:eastAsia="en-GB"/>
    </w:rPr>
  </w:style>
  <w:style w:type="paragraph" w:styleId="Heading1">
    <w:name w:val="heading 1"/>
    <w:basedOn w:val="Normal"/>
    <w:next w:val="Normal"/>
    <w:link w:val="Heading1Char"/>
    <w:uiPriority w:val="99"/>
    <w:qFormat/>
    <w:rsid w:val="006B322E"/>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322E"/>
    <w:rPr>
      <w:rFonts w:ascii="Cambria" w:hAnsi="Cambria" w:cs="Times New Roman"/>
      <w:b/>
      <w:kern w:val="32"/>
      <w:sz w:val="32"/>
      <w:lang w:val="en-US"/>
    </w:rPr>
  </w:style>
  <w:style w:type="paragraph" w:styleId="Revision">
    <w:name w:val="Revision"/>
    <w:hidden/>
    <w:uiPriority w:val="99"/>
    <w:semiHidden/>
    <w:rsid w:val="00196068"/>
    <w:rPr>
      <w:sz w:val="24"/>
      <w:szCs w:val="24"/>
      <w:lang w:eastAsia="en-GB"/>
    </w:rPr>
  </w:style>
  <w:style w:type="paragraph" w:styleId="BalloonText">
    <w:name w:val="Balloon Text"/>
    <w:basedOn w:val="Normal"/>
    <w:link w:val="BalloonTextChar"/>
    <w:uiPriority w:val="99"/>
    <w:semiHidden/>
    <w:rsid w:val="001960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068"/>
    <w:rPr>
      <w:rFonts w:ascii="Tahoma" w:hAnsi="Tahoma" w:cs="Times New Roman"/>
      <w:sz w:val="16"/>
      <w:lang w:val="en-US" w:eastAsia="en-GB"/>
    </w:rPr>
  </w:style>
  <w:style w:type="table" w:styleId="TableGrid">
    <w:name w:val="Table Grid"/>
    <w:basedOn w:val="TableNormal"/>
    <w:uiPriority w:val="99"/>
    <w:rsid w:val="0019606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96068"/>
    <w:pPr>
      <w:ind w:left="720"/>
      <w:contextualSpacing/>
    </w:pPr>
  </w:style>
  <w:style w:type="character" w:styleId="Emphasis">
    <w:name w:val="Emphasis"/>
    <w:basedOn w:val="DefaultParagraphFont"/>
    <w:uiPriority w:val="99"/>
    <w:qFormat/>
    <w:rsid w:val="00B94547"/>
    <w:rPr>
      <w:rFonts w:cs="Times New Roman"/>
      <w:i/>
    </w:rPr>
  </w:style>
  <w:style w:type="character" w:styleId="Hyperlink">
    <w:name w:val="Hyperlink"/>
    <w:basedOn w:val="DefaultParagraphFont"/>
    <w:uiPriority w:val="99"/>
    <w:rsid w:val="00AC1BC7"/>
    <w:rPr>
      <w:rFonts w:cs="Times New Roman"/>
      <w:color w:val="0000FF"/>
      <w:u w:val="single"/>
    </w:rPr>
  </w:style>
  <w:style w:type="character" w:styleId="CommentReference">
    <w:name w:val="annotation reference"/>
    <w:basedOn w:val="DefaultParagraphFont"/>
    <w:uiPriority w:val="99"/>
    <w:rsid w:val="00AC1BC7"/>
    <w:rPr>
      <w:rFonts w:cs="Times New Roman"/>
      <w:sz w:val="16"/>
    </w:rPr>
  </w:style>
  <w:style w:type="paragraph" w:styleId="CommentText">
    <w:name w:val="annotation text"/>
    <w:basedOn w:val="Normal"/>
    <w:link w:val="CommentTextChar"/>
    <w:uiPriority w:val="99"/>
    <w:rsid w:val="00AC1BC7"/>
    <w:rPr>
      <w:sz w:val="20"/>
      <w:szCs w:val="20"/>
      <w:lang w:eastAsia="en-US"/>
    </w:rPr>
  </w:style>
  <w:style w:type="character" w:customStyle="1" w:styleId="CommentTextChar">
    <w:name w:val="Comment Text Char"/>
    <w:basedOn w:val="DefaultParagraphFont"/>
    <w:link w:val="CommentText"/>
    <w:uiPriority w:val="99"/>
    <w:locked/>
    <w:rsid w:val="00AC1BC7"/>
    <w:rPr>
      <w:rFonts w:cs="Times New Roman"/>
      <w:lang w:val="en-US"/>
    </w:rPr>
  </w:style>
  <w:style w:type="paragraph" w:styleId="CommentSubject">
    <w:name w:val="annotation subject"/>
    <w:basedOn w:val="CommentText"/>
    <w:next w:val="CommentText"/>
    <w:link w:val="CommentSubjectChar"/>
    <w:uiPriority w:val="99"/>
    <w:rsid w:val="00AC1BC7"/>
    <w:rPr>
      <w:b/>
      <w:bCs/>
    </w:rPr>
  </w:style>
  <w:style w:type="character" w:customStyle="1" w:styleId="CommentSubjectChar">
    <w:name w:val="Comment Subject Char"/>
    <w:basedOn w:val="CommentTextChar"/>
    <w:link w:val="CommentSubject"/>
    <w:uiPriority w:val="99"/>
    <w:locked/>
    <w:rsid w:val="00AC1BC7"/>
    <w:rPr>
      <w:rFonts w:cs="Times New Roman"/>
      <w:b/>
      <w:lang w:val="en-US"/>
    </w:rPr>
  </w:style>
  <w:style w:type="paragraph" w:styleId="Footer">
    <w:name w:val="footer"/>
    <w:basedOn w:val="Normal"/>
    <w:link w:val="FooterChar"/>
    <w:uiPriority w:val="99"/>
    <w:rsid w:val="0053505A"/>
    <w:pPr>
      <w:tabs>
        <w:tab w:val="center" w:pos="4320"/>
        <w:tab w:val="right" w:pos="8640"/>
      </w:tabs>
    </w:pPr>
  </w:style>
  <w:style w:type="character" w:customStyle="1" w:styleId="FooterChar">
    <w:name w:val="Footer Char"/>
    <w:basedOn w:val="DefaultParagraphFont"/>
    <w:link w:val="Footer"/>
    <w:uiPriority w:val="99"/>
    <w:semiHidden/>
    <w:locked/>
    <w:rsid w:val="00891F59"/>
    <w:rPr>
      <w:rFonts w:cs="Times New Roman"/>
      <w:sz w:val="24"/>
      <w:szCs w:val="24"/>
      <w:lang w:eastAsia="en-GB"/>
    </w:rPr>
  </w:style>
  <w:style w:type="character" w:styleId="PageNumber">
    <w:name w:val="page number"/>
    <w:basedOn w:val="DefaultParagraphFont"/>
    <w:uiPriority w:val="99"/>
    <w:rsid w:val="0053505A"/>
    <w:rPr>
      <w:rFonts w:cs="Times New Roman"/>
    </w:rPr>
  </w:style>
  <w:style w:type="paragraph" w:styleId="Header">
    <w:name w:val="header"/>
    <w:basedOn w:val="Normal"/>
    <w:link w:val="HeaderChar"/>
    <w:uiPriority w:val="99"/>
    <w:rsid w:val="006540D7"/>
    <w:pPr>
      <w:tabs>
        <w:tab w:val="center" w:pos="4513"/>
        <w:tab w:val="right" w:pos="9026"/>
      </w:tabs>
    </w:pPr>
  </w:style>
  <w:style w:type="character" w:customStyle="1" w:styleId="HeaderChar">
    <w:name w:val="Header Char"/>
    <w:basedOn w:val="DefaultParagraphFont"/>
    <w:link w:val="Header"/>
    <w:uiPriority w:val="99"/>
    <w:locked/>
    <w:rsid w:val="006540D7"/>
    <w:rPr>
      <w:rFonts w:cs="Times New Roman"/>
      <w:sz w:val="24"/>
      <w:szCs w:val="24"/>
      <w:lang w:eastAsia="en-GB"/>
    </w:rPr>
  </w:style>
  <w:style w:type="character" w:customStyle="1" w:styleId="paragraph1">
    <w:name w:val="paragraph1"/>
    <w:basedOn w:val="DefaultParagraphFont"/>
    <w:uiPriority w:val="99"/>
    <w:rsid w:val="000C08F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68"/>
    <w:pPr>
      <w:widowControl w:val="0"/>
      <w:autoSpaceDE w:val="0"/>
      <w:autoSpaceDN w:val="0"/>
    </w:pPr>
    <w:rPr>
      <w:sz w:val="24"/>
      <w:szCs w:val="24"/>
      <w:lang w:eastAsia="en-GB"/>
    </w:rPr>
  </w:style>
  <w:style w:type="paragraph" w:styleId="Heading1">
    <w:name w:val="heading 1"/>
    <w:basedOn w:val="Normal"/>
    <w:next w:val="Normal"/>
    <w:link w:val="Heading1Char"/>
    <w:uiPriority w:val="99"/>
    <w:qFormat/>
    <w:rsid w:val="006B322E"/>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322E"/>
    <w:rPr>
      <w:rFonts w:ascii="Cambria" w:hAnsi="Cambria" w:cs="Times New Roman"/>
      <w:b/>
      <w:kern w:val="32"/>
      <w:sz w:val="32"/>
      <w:lang w:val="en-US"/>
    </w:rPr>
  </w:style>
  <w:style w:type="paragraph" w:styleId="Revision">
    <w:name w:val="Revision"/>
    <w:hidden/>
    <w:uiPriority w:val="99"/>
    <w:semiHidden/>
    <w:rsid w:val="00196068"/>
    <w:rPr>
      <w:sz w:val="24"/>
      <w:szCs w:val="24"/>
      <w:lang w:eastAsia="en-GB"/>
    </w:rPr>
  </w:style>
  <w:style w:type="paragraph" w:styleId="BalloonText">
    <w:name w:val="Balloon Text"/>
    <w:basedOn w:val="Normal"/>
    <w:link w:val="BalloonTextChar"/>
    <w:uiPriority w:val="99"/>
    <w:semiHidden/>
    <w:rsid w:val="001960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068"/>
    <w:rPr>
      <w:rFonts w:ascii="Tahoma" w:hAnsi="Tahoma" w:cs="Times New Roman"/>
      <w:sz w:val="16"/>
      <w:lang w:val="en-US" w:eastAsia="en-GB"/>
    </w:rPr>
  </w:style>
  <w:style w:type="table" w:styleId="TableGrid">
    <w:name w:val="Table Grid"/>
    <w:basedOn w:val="TableNormal"/>
    <w:uiPriority w:val="99"/>
    <w:rsid w:val="0019606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96068"/>
    <w:pPr>
      <w:ind w:left="720"/>
      <w:contextualSpacing/>
    </w:pPr>
  </w:style>
  <w:style w:type="character" w:styleId="Emphasis">
    <w:name w:val="Emphasis"/>
    <w:basedOn w:val="DefaultParagraphFont"/>
    <w:uiPriority w:val="99"/>
    <w:qFormat/>
    <w:rsid w:val="00B94547"/>
    <w:rPr>
      <w:rFonts w:cs="Times New Roman"/>
      <w:i/>
    </w:rPr>
  </w:style>
  <w:style w:type="character" w:styleId="Hyperlink">
    <w:name w:val="Hyperlink"/>
    <w:basedOn w:val="DefaultParagraphFont"/>
    <w:uiPriority w:val="99"/>
    <w:rsid w:val="00AC1BC7"/>
    <w:rPr>
      <w:rFonts w:cs="Times New Roman"/>
      <w:color w:val="0000FF"/>
      <w:u w:val="single"/>
    </w:rPr>
  </w:style>
  <w:style w:type="character" w:styleId="CommentReference">
    <w:name w:val="annotation reference"/>
    <w:basedOn w:val="DefaultParagraphFont"/>
    <w:uiPriority w:val="99"/>
    <w:rsid w:val="00AC1BC7"/>
    <w:rPr>
      <w:rFonts w:cs="Times New Roman"/>
      <w:sz w:val="16"/>
    </w:rPr>
  </w:style>
  <w:style w:type="paragraph" w:styleId="CommentText">
    <w:name w:val="annotation text"/>
    <w:basedOn w:val="Normal"/>
    <w:link w:val="CommentTextChar"/>
    <w:uiPriority w:val="99"/>
    <w:rsid w:val="00AC1BC7"/>
    <w:rPr>
      <w:sz w:val="20"/>
      <w:szCs w:val="20"/>
      <w:lang w:eastAsia="en-US"/>
    </w:rPr>
  </w:style>
  <w:style w:type="character" w:customStyle="1" w:styleId="CommentTextChar">
    <w:name w:val="Comment Text Char"/>
    <w:basedOn w:val="DefaultParagraphFont"/>
    <w:link w:val="CommentText"/>
    <w:uiPriority w:val="99"/>
    <w:locked/>
    <w:rsid w:val="00AC1BC7"/>
    <w:rPr>
      <w:rFonts w:cs="Times New Roman"/>
      <w:lang w:val="en-US"/>
    </w:rPr>
  </w:style>
  <w:style w:type="paragraph" w:styleId="CommentSubject">
    <w:name w:val="annotation subject"/>
    <w:basedOn w:val="CommentText"/>
    <w:next w:val="CommentText"/>
    <w:link w:val="CommentSubjectChar"/>
    <w:uiPriority w:val="99"/>
    <w:rsid w:val="00AC1BC7"/>
    <w:rPr>
      <w:b/>
      <w:bCs/>
    </w:rPr>
  </w:style>
  <w:style w:type="character" w:customStyle="1" w:styleId="CommentSubjectChar">
    <w:name w:val="Comment Subject Char"/>
    <w:basedOn w:val="CommentTextChar"/>
    <w:link w:val="CommentSubject"/>
    <w:uiPriority w:val="99"/>
    <w:locked/>
    <w:rsid w:val="00AC1BC7"/>
    <w:rPr>
      <w:rFonts w:cs="Times New Roman"/>
      <w:b/>
      <w:lang w:val="en-US"/>
    </w:rPr>
  </w:style>
  <w:style w:type="paragraph" w:styleId="Footer">
    <w:name w:val="footer"/>
    <w:basedOn w:val="Normal"/>
    <w:link w:val="FooterChar"/>
    <w:uiPriority w:val="99"/>
    <w:rsid w:val="0053505A"/>
    <w:pPr>
      <w:tabs>
        <w:tab w:val="center" w:pos="4320"/>
        <w:tab w:val="right" w:pos="8640"/>
      </w:tabs>
    </w:pPr>
  </w:style>
  <w:style w:type="character" w:customStyle="1" w:styleId="FooterChar">
    <w:name w:val="Footer Char"/>
    <w:basedOn w:val="DefaultParagraphFont"/>
    <w:link w:val="Footer"/>
    <w:uiPriority w:val="99"/>
    <w:semiHidden/>
    <w:locked/>
    <w:rsid w:val="00891F59"/>
    <w:rPr>
      <w:rFonts w:cs="Times New Roman"/>
      <w:sz w:val="24"/>
      <w:szCs w:val="24"/>
      <w:lang w:eastAsia="en-GB"/>
    </w:rPr>
  </w:style>
  <w:style w:type="character" w:styleId="PageNumber">
    <w:name w:val="page number"/>
    <w:basedOn w:val="DefaultParagraphFont"/>
    <w:uiPriority w:val="99"/>
    <w:rsid w:val="0053505A"/>
    <w:rPr>
      <w:rFonts w:cs="Times New Roman"/>
    </w:rPr>
  </w:style>
  <w:style w:type="paragraph" w:styleId="Header">
    <w:name w:val="header"/>
    <w:basedOn w:val="Normal"/>
    <w:link w:val="HeaderChar"/>
    <w:uiPriority w:val="99"/>
    <w:rsid w:val="006540D7"/>
    <w:pPr>
      <w:tabs>
        <w:tab w:val="center" w:pos="4513"/>
        <w:tab w:val="right" w:pos="9026"/>
      </w:tabs>
    </w:pPr>
  </w:style>
  <w:style w:type="character" w:customStyle="1" w:styleId="HeaderChar">
    <w:name w:val="Header Char"/>
    <w:basedOn w:val="DefaultParagraphFont"/>
    <w:link w:val="Header"/>
    <w:uiPriority w:val="99"/>
    <w:locked/>
    <w:rsid w:val="006540D7"/>
    <w:rPr>
      <w:rFonts w:cs="Times New Roman"/>
      <w:sz w:val="24"/>
      <w:szCs w:val="24"/>
      <w:lang w:eastAsia="en-GB"/>
    </w:rPr>
  </w:style>
  <w:style w:type="character" w:customStyle="1" w:styleId="paragraph1">
    <w:name w:val="paragraph1"/>
    <w:basedOn w:val="DefaultParagraphFont"/>
    <w:uiPriority w:val="99"/>
    <w:rsid w:val="000C08F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09829">
      <w:marLeft w:val="0"/>
      <w:marRight w:val="0"/>
      <w:marTop w:val="0"/>
      <w:marBottom w:val="0"/>
      <w:divBdr>
        <w:top w:val="none" w:sz="0" w:space="0" w:color="auto"/>
        <w:left w:val="none" w:sz="0" w:space="0" w:color="auto"/>
        <w:bottom w:val="none" w:sz="0" w:space="0" w:color="auto"/>
        <w:right w:val="none" w:sz="0" w:space="0" w:color="auto"/>
      </w:divBdr>
      <w:divsChild>
        <w:div w:id="1404109825">
          <w:marLeft w:val="0"/>
          <w:marRight w:val="0"/>
          <w:marTop w:val="0"/>
          <w:marBottom w:val="0"/>
          <w:divBdr>
            <w:top w:val="none" w:sz="0" w:space="0" w:color="auto"/>
            <w:left w:val="none" w:sz="0" w:space="0" w:color="auto"/>
            <w:bottom w:val="none" w:sz="0" w:space="0" w:color="auto"/>
            <w:right w:val="none" w:sz="0" w:space="0" w:color="auto"/>
          </w:divBdr>
          <w:divsChild>
            <w:div w:id="1404109827">
              <w:marLeft w:val="150"/>
              <w:marRight w:val="150"/>
              <w:marTop w:val="0"/>
              <w:marBottom w:val="150"/>
              <w:divBdr>
                <w:top w:val="none" w:sz="0" w:space="0" w:color="auto"/>
                <w:left w:val="none" w:sz="0" w:space="0" w:color="auto"/>
                <w:bottom w:val="none" w:sz="0" w:space="0" w:color="auto"/>
                <w:right w:val="none" w:sz="0" w:space="0" w:color="auto"/>
              </w:divBdr>
              <w:divsChild>
                <w:div w:id="1404109832">
                  <w:marLeft w:val="0"/>
                  <w:marRight w:val="0"/>
                  <w:marTop w:val="0"/>
                  <w:marBottom w:val="0"/>
                  <w:divBdr>
                    <w:top w:val="none" w:sz="0" w:space="0" w:color="auto"/>
                    <w:left w:val="none" w:sz="0" w:space="0" w:color="auto"/>
                    <w:bottom w:val="none" w:sz="0" w:space="0" w:color="auto"/>
                    <w:right w:val="none" w:sz="0" w:space="0" w:color="auto"/>
                  </w:divBdr>
                  <w:divsChild>
                    <w:div w:id="1404109830">
                      <w:marLeft w:val="0"/>
                      <w:marRight w:val="0"/>
                      <w:marTop w:val="0"/>
                      <w:marBottom w:val="0"/>
                      <w:divBdr>
                        <w:top w:val="none" w:sz="0" w:space="0" w:color="auto"/>
                        <w:left w:val="single" w:sz="6" w:space="15" w:color="D6D6D6"/>
                        <w:bottom w:val="none" w:sz="0" w:space="0" w:color="auto"/>
                        <w:right w:val="single" w:sz="6" w:space="11" w:color="D6D6D6"/>
                      </w:divBdr>
                      <w:divsChild>
                        <w:div w:id="14041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09834">
      <w:marLeft w:val="0"/>
      <w:marRight w:val="0"/>
      <w:marTop w:val="0"/>
      <w:marBottom w:val="0"/>
      <w:divBdr>
        <w:top w:val="none" w:sz="0" w:space="0" w:color="auto"/>
        <w:left w:val="none" w:sz="0" w:space="0" w:color="auto"/>
        <w:bottom w:val="none" w:sz="0" w:space="0" w:color="auto"/>
        <w:right w:val="none" w:sz="0" w:space="0" w:color="auto"/>
      </w:divBdr>
      <w:divsChild>
        <w:div w:id="1404109833">
          <w:marLeft w:val="0"/>
          <w:marRight w:val="0"/>
          <w:marTop w:val="0"/>
          <w:marBottom w:val="0"/>
          <w:divBdr>
            <w:top w:val="none" w:sz="0" w:space="0" w:color="auto"/>
            <w:left w:val="none" w:sz="0" w:space="0" w:color="auto"/>
            <w:bottom w:val="none" w:sz="0" w:space="0" w:color="auto"/>
            <w:right w:val="none" w:sz="0" w:space="0" w:color="auto"/>
          </w:divBdr>
          <w:divsChild>
            <w:div w:id="1404109826">
              <w:marLeft w:val="150"/>
              <w:marRight w:val="150"/>
              <w:marTop w:val="0"/>
              <w:marBottom w:val="150"/>
              <w:divBdr>
                <w:top w:val="none" w:sz="0" w:space="0" w:color="auto"/>
                <w:left w:val="none" w:sz="0" w:space="0" w:color="auto"/>
                <w:bottom w:val="none" w:sz="0" w:space="0" w:color="auto"/>
                <w:right w:val="none" w:sz="0" w:space="0" w:color="auto"/>
              </w:divBdr>
              <w:divsChild>
                <w:div w:id="1404109835">
                  <w:marLeft w:val="0"/>
                  <w:marRight w:val="0"/>
                  <w:marTop w:val="0"/>
                  <w:marBottom w:val="0"/>
                  <w:divBdr>
                    <w:top w:val="none" w:sz="0" w:space="0" w:color="auto"/>
                    <w:left w:val="none" w:sz="0" w:space="0" w:color="auto"/>
                    <w:bottom w:val="none" w:sz="0" w:space="0" w:color="auto"/>
                    <w:right w:val="none" w:sz="0" w:space="0" w:color="auto"/>
                  </w:divBdr>
                  <w:divsChild>
                    <w:div w:id="1404109828">
                      <w:marLeft w:val="0"/>
                      <w:marRight w:val="0"/>
                      <w:marTop w:val="0"/>
                      <w:marBottom w:val="0"/>
                      <w:divBdr>
                        <w:top w:val="none" w:sz="0" w:space="0" w:color="auto"/>
                        <w:left w:val="single" w:sz="6" w:space="15" w:color="D6D6D6"/>
                        <w:bottom w:val="none" w:sz="0" w:space="0" w:color="auto"/>
                        <w:right w:val="single" w:sz="6" w:space="11" w:color="D6D6D6"/>
                      </w:divBdr>
                      <w:divsChild>
                        <w:div w:id="14041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0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ger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6775</Words>
  <Characters>38619</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Rangers International Football Club plc</vt:lpstr>
    </vt:vector>
  </TitlesOfParts>
  <Company>Rangers Football Club</Company>
  <LinksUpToDate>false</LinksUpToDate>
  <CharactersWithSpaces>45304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Rangers International Football Club plc</dc:title>
  <dc:creator>gavin.stevenson</dc:creator>
  <cp:lastModifiedBy>Ken Olverman</cp:lastModifiedBy>
  <cp:revision>2</cp:revision>
  <cp:lastPrinted>2013-03-01T14:41:00Z</cp:lastPrinted>
  <dcterms:created xsi:type="dcterms:W3CDTF">2013-03-04T17:10:00Z</dcterms:created>
  <dcterms:modified xsi:type="dcterms:W3CDTF">2013-03-04T17:10:00Z</dcterms:modified>
</cp:coreProperties>
</file>